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0D9E7" w14:textId="2C9A281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En la UPV/EHU, el acto público consistirá en una presentación de hasta 20 minutos de la tesis de máster y un turno de preguntas y discusión de hasta 40 minutos.</w:t>
      </w:r>
    </w:p>
    <w:p w14:paraId="2ED45740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</w:p>
    <w:p w14:paraId="2323EE0B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El 60% de la nota del tribunal depende del trabajo escrito, que será evaluado teniendo en cuenta los siguientes aspectos:</w:t>
      </w:r>
    </w:p>
    <w:p w14:paraId="346FF3E3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1. Nivel de competencia básica en las metodologías y conceptos utilizados en la TFM.</w:t>
      </w:r>
    </w:p>
    <w:p w14:paraId="45EC27C7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2. Capacidad para planificar y desarrollar un trabajo de investigación y llevarlo a la práctica en un periodo de 5 meses.</w:t>
      </w:r>
    </w:p>
    <w:p w14:paraId="0FBECEBE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3. Claridad, pertinencia y coherencia de la presentación de los antecedentes o estado de la cuestión.</w:t>
      </w:r>
    </w:p>
    <w:p w14:paraId="260E1383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4. Concisión de los objetivos e hipótesis planteados, su relación con los antecedentes.</w:t>
      </w:r>
    </w:p>
    <w:p w14:paraId="050F3CD2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5. Metodología, claridad y adecuación a los objetivos. Si hay resultados, la presentación y discusión de los mismos.</w:t>
      </w:r>
    </w:p>
    <w:p w14:paraId="349CE88E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6. Cumplimiento de los aspectos formales: extensión del trabajo; corrección ortográfica, gramatical y bibliográfica.</w:t>
      </w:r>
    </w:p>
    <w:p w14:paraId="02926622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</w:p>
    <w:p w14:paraId="4564D1F6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El 40% de la nota del tribunal valorará la presentación pública y el debate con el tribunal sobre el trabajo realizado (comunicación, crítica y difusión de resultados). Se tendrán en cuenta:</w:t>
      </w:r>
    </w:p>
    <w:p w14:paraId="47D79945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1. La claridad de la exposición.</w:t>
      </w:r>
    </w:p>
    <w:p w14:paraId="351FC0D0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2. Capacidad de presentar el trabajo completo, de forma concisa y ordenada, en 20 minutos.</w:t>
      </w:r>
    </w:p>
    <w:p w14:paraId="1E34AFC0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3. El conocimiento del tema.</w:t>
      </w:r>
    </w:p>
    <w:p w14:paraId="66471777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4. Las respuestas a las preguntas del tribunal.</w:t>
      </w:r>
    </w:p>
    <w:p w14:paraId="505C0B58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</w:p>
    <w:p w14:paraId="762C0402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eastAsia="Times New Roman" w:hAnsi="EHUSans" w:cs="Times New Roman"/>
          <w:sz w:val="21"/>
          <w:szCs w:val="21"/>
          <w:lang w:val="es-ES_tradnl" w:eastAsia="es-ES"/>
        </w:rPr>
        <w:t>En suma, el tribunal valorará si la alumna o alumno ha adquirido una suficiencia investigadora que le permita enfrentarse con la tarea de elaborar una tesis doctoral o con una actividad profesional como investigador/a en los ámbitos de estudio del máster FCV/FZB.</w:t>
      </w:r>
    </w:p>
    <w:p w14:paraId="11A2C727" w14:textId="77777777" w:rsidR="0015420D" w:rsidRPr="00981468" w:rsidRDefault="0015420D" w:rsidP="0015420D">
      <w:pPr>
        <w:spacing w:after="0"/>
        <w:rPr>
          <w:rFonts w:ascii="EHUSans" w:eastAsia="Times New Roman" w:hAnsi="EHUSans" w:cs="Times New Roman"/>
          <w:sz w:val="21"/>
          <w:szCs w:val="21"/>
          <w:lang w:val="es-ES_tradnl" w:eastAsia="es-ES"/>
        </w:rPr>
      </w:pPr>
    </w:p>
    <w:p w14:paraId="0599803E" w14:textId="77777777" w:rsidR="00221237" w:rsidRPr="00981468" w:rsidRDefault="0015420D" w:rsidP="00B841E9">
      <w:pPr>
        <w:rPr>
          <w:rFonts w:ascii="EHUSans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hAnsi="EHUSans" w:cs="Times New Roman"/>
          <w:sz w:val="21"/>
          <w:szCs w:val="21"/>
          <w:lang w:val="es-ES_tradnl" w:eastAsia="es-ES"/>
        </w:rPr>
        <w:t>La calificación final se fijará se</w:t>
      </w:r>
      <w:r w:rsidR="00221237" w:rsidRPr="00981468">
        <w:rPr>
          <w:rFonts w:ascii="EHUSans" w:hAnsi="EHUSans" w:cs="Times New Roman"/>
          <w:sz w:val="21"/>
          <w:szCs w:val="21"/>
          <w:lang w:val="es-ES_tradnl" w:eastAsia="es-ES"/>
        </w:rPr>
        <w:t>gún el siguiente procedimiento:</w:t>
      </w:r>
    </w:p>
    <w:p w14:paraId="2E79C14F" w14:textId="77777777" w:rsidR="00221237" w:rsidRPr="00981468" w:rsidRDefault="00221237" w:rsidP="00B841E9">
      <w:pPr>
        <w:rPr>
          <w:rFonts w:ascii="EHUSans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hAnsi="EHUSans" w:cs="Times New Roman"/>
          <w:sz w:val="21"/>
          <w:szCs w:val="21"/>
          <w:lang w:val="es-ES_tradnl" w:eastAsia="es-ES"/>
        </w:rPr>
        <w:t xml:space="preserve">- </w:t>
      </w:r>
      <w:r w:rsidR="0015420D" w:rsidRPr="00981468">
        <w:rPr>
          <w:rFonts w:ascii="EHUSans" w:hAnsi="EHUSans" w:cs="Times New Roman"/>
          <w:sz w:val="21"/>
          <w:szCs w:val="21"/>
          <w:lang w:val="es-ES_tradnl" w:eastAsia="es-ES"/>
        </w:rPr>
        <w:t>toma en cuenta de la calificación del director/a (que presentará la misma según el procedimiento que se establecerá, con anterioridad a la realización del examen) co</w:t>
      </w:r>
      <w:r w:rsidRPr="00981468">
        <w:rPr>
          <w:rFonts w:ascii="EHUSans" w:hAnsi="EHUSans" w:cs="Times New Roman"/>
          <w:sz w:val="21"/>
          <w:szCs w:val="21"/>
          <w:lang w:val="es-ES_tradnl" w:eastAsia="es-ES"/>
        </w:rPr>
        <w:t>n una ponderación hasta el 50%;</w:t>
      </w:r>
    </w:p>
    <w:p w14:paraId="15F436E9" w14:textId="77777777" w:rsidR="00221237" w:rsidRPr="00981468" w:rsidRDefault="00221237" w:rsidP="00B841E9">
      <w:pPr>
        <w:rPr>
          <w:rFonts w:ascii="EHUSans" w:hAnsi="EHUSans" w:cs="Times New Roman"/>
          <w:sz w:val="21"/>
          <w:szCs w:val="21"/>
          <w:lang w:val="es-ES_tradnl" w:eastAsia="es-ES"/>
        </w:rPr>
      </w:pPr>
      <w:r w:rsidRPr="00981468">
        <w:rPr>
          <w:rFonts w:ascii="EHUSans" w:hAnsi="EHUSans" w:cs="Times New Roman"/>
          <w:sz w:val="21"/>
          <w:szCs w:val="21"/>
          <w:lang w:val="es-ES_tradnl" w:eastAsia="es-ES"/>
        </w:rPr>
        <w:t xml:space="preserve">- </w:t>
      </w:r>
      <w:r w:rsidR="0015420D" w:rsidRPr="00981468">
        <w:rPr>
          <w:rFonts w:ascii="EHUSans" w:hAnsi="EHUSans" w:cs="Times New Roman"/>
          <w:sz w:val="21"/>
          <w:szCs w:val="21"/>
          <w:lang w:val="es-ES_tradnl" w:eastAsia="es-ES"/>
        </w:rPr>
        <w:t>calificación del tribunal incluyendo la defensa con una ponde</w:t>
      </w:r>
      <w:r w:rsidRPr="00981468">
        <w:rPr>
          <w:rFonts w:ascii="EHUSans" w:hAnsi="EHUSans" w:cs="Times New Roman"/>
          <w:sz w:val="21"/>
          <w:szCs w:val="21"/>
          <w:lang w:val="es-ES_tradnl" w:eastAsia="es-ES"/>
        </w:rPr>
        <w:t>ración hasta el 50%;</w:t>
      </w:r>
    </w:p>
    <w:p w14:paraId="2CBED18D" w14:textId="61C14829" w:rsidR="0015420D" w:rsidRPr="00981468" w:rsidRDefault="00221237" w:rsidP="00B841E9">
      <w:pPr>
        <w:rPr>
          <w:rFonts w:ascii="EHUSans" w:hAnsi="EHUSans" w:cs="Times New Roman"/>
          <w:sz w:val="21"/>
          <w:szCs w:val="21"/>
          <w:lang w:val="es-ES_tradnl"/>
        </w:rPr>
      </w:pPr>
      <w:r w:rsidRPr="00981468">
        <w:rPr>
          <w:rFonts w:ascii="EHUSans" w:hAnsi="EHUSans" w:cs="Times New Roman"/>
          <w:sz w:val="21"/>
          <w:szCs w:val="21"/>
          <w:lang w:val="es-ES_tradnl" w:eastAsia="es-ES"/>
        </w:rPr>
        <w:t xml:space="preserve">- </w:t>
      </w:r>
      <w:r w:rsidR="00B841E9" w:rsidRPr="00981468">
        <w:rPr>
          <w:rFonts w:ascii="EHUSans" w:hAnsi="EHUSans" w:cs="Times New Roman"/>
          <w:sz w:val="21"/>
          <w:szCs w:val="21"/>
          <w:lang w:val="es-ES_tradnl"/>
        </w:rPr>
        <w:t>decisión final integrada del tribunal a partir de esas dos calificaciones.</w:t>
      </w:r>
    </w:p>
    <w:p w14:paraId="2F79D269" w14:textId="77777777" w:rsidR="0015420D" w:rsidRPr="00981468" w:rsidRDefault="0015420D">
      <w:pPr>
        <w:rPr>
          <w:rFonts w:ascii="EHUSans" w:hAnsi="EHUSans" w:cs="Times New Roman"/>
          <w:sz w:val="21"/>
          <w:szCs w:val="21"/>
          <w:lang w:val="es-ES"/>
        </w:rPr>
      </w:pPr>
    </w:p>
    <w:p w14:paraId="6F89C4DB" w14:textId="77777777" w:rsidR="0015420D" w:rsidRPr="00981468" w:rsidRDefault="0015420D">
      <w:pPr>
        <w:rPr>
          <w:rFonts w:ascii="EHUSans" w:hAnsi="EHUSans" w:cs="Times New Roman"/>
          <w:sz w:val="21"/>
          <w:szCs w:val="21"/>
          <w:lang w:val="es-ES"/>
        </w:rPr>
      </w:pPr>
      <w:bookmarkStart w:id="0" w:name="_GoBack"/>
      <w:bookmarkEnd w:id="0"/>
    </w:p>
    <w:sectPr w:rsidR="0015420D" w:rsidRPr="00981468" w:rsidSect="00135379">
      <w:pgSz w:w="11906" w:h="16838"/>
      <w:pgMar w:top="1525" w:right="1418" w:bottom="1418" w:left="1701" w:header="720" w:footer="30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0D"/>
    <w:rsid w:val="00081D98"/>
    <w:rsid w:val="00135379"/>
    <w:rsid w:val="0015420D"/>
    <w:rsid w:val="00221237"/>
    <w:rsid w:val="002B79C6"/>
    <w:rsid w:val="006A048A"/>
    <w:rsid w:val="008D7D85"/>
    <w:rsid w:val="00981468"/>
    <w:rsid w:val="00AC6BF6"/>
    <w:rsid w:val="00B75F5F"/>
    <w:rsid w:val="00B841E9"/>
    <w:rsid w:val="00C86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E4B950"/>
  <w15:docId w15:val="{9FC7631C-417C-49CA-B1F9-1598D984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8A"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7D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85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Umerez</dc:creator>
  <cp:keywords/>
  <dc:description/>
  <cp:lastModifiedBy>NAGORE BEGOÑA GAINZA</cp:lastModifiedBy>
  <cp:revision>3</cp:revision>
  <dcterms:created xsi:type="dcterms:W3CDTF">2021-04-22T07:39:00Z</dcterms:created>
  <dcterms:modified xsi:type="dcterms:W3CDTF">2021-04-22T07:40:00Z</dcterms:modified>
</cp:coreProperties>
</file>