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>Duration (</w:t>
      </w:r>
      <w:r w:rsidR="006756AE">
        <w:rPr>
          <w:rFonts w:ascii="Verdana" w:hAnsi="Verdana" w:cs="Calibri"/>
          <w:lang w:val="en-GB"/>
        </w:rPr>
        <w:t xml:space="preserve">days) – excluding travel days: </w:t>
      </w:r>
      <w:r w:rsidR="006756AE" w:rsidRPr="004775AA">
        <w:rPr>
          <w:rFonts w:ascii="Verdana" w:hAnsi="Verdana" w:cs="Calibri"/>
          <w:highlight w:val="yellow"/>
          <w:lang w:val="es-ES"/>
        </w:rPr>
        <w:t>____________________</w:t>
      </w:r>
      <w:r w:rsidRPr="00204A7A">
        <w:rPr>
          <w:rFonts w:ascii="Verdana" w:hAnsi="Verdana" w:cs="Calibri"/>
          <w:lang w:val="en-GB"/>
        </w:rPr>
        <w:t xml:space="preserve">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C037D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2017</w:t>
            </w:r>
            <w:r w:rsidR="00377526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18</w:t>
            </w: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1933"/>
        <w:gridCol w:w="2711"/>
        <w:gridCol w:w="709"/>
        <w:gridCol w:w="992"/>
        <w:gridCol w:w="540"/>
        <w:gridCol w:w="2119"/>
      </w:tblGrid>
      <w:tr w:rsidR="00806643" w:rsidRPr="007673FA" w:rsidTr="00430E03">
        <w:trPr>
          <w:trHeight w:val="371"/>
        </w:trPr>
        <w:tc>
          <w:tcPr>
            <w:tcW w:w="1933" w:type="dxa"/>
            <w:shd w:val="clear" w:color="auto" w:fill="FFFFFF"/>
            <w:vAlign w:val="center"/>
          </w:tcPr>
          <w:p w:rsidR="00806643" w:rsidRPr="007673FA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711" w:type="dxa"/>
            <w:shd w:val="clear" w:color="auto" w:fill="FFFFFF"/>
            <w:vAlign w:val="center"/>
          </w:tcPr>
          <w:p w:rsidR="00806643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</w:pPr>
            <w:r w:rsidRPr="00246499"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  <w:t>UNIVERSITY OF THE</w:t>
            </w:r>
          </w:p>
          <w:p w:rsidR="00806643" w:rsidRPr="00246499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</w:pPr>
            <w:r w:rsidRPr="00246499"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  <w:t>BASQUE COUNTRY</w:t>
            </w:r>
          </w:p>
        </w:tc>
        <w:tc>
          <w:tcPr>
            <w:tcW w:w="2241" w:type="dxa"/>
            <w:gridSpan w:val="3"/>
            <w:vMerge w:val="restart"/>
            <w:shd w:val="clear" w:color="auto" w:fill="FFFFFF"/>
            <w:vAlign w:val="center"/>
          </w:tcPr>
          <w:p w:rsidR="00806643" w:rsidRPr="00E02718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19" w:type="dxa"/>
            <w:vMerge w:val="restart"/>
            <w:shd w:val="clear" w:color="auto" w:fill="FFFFFF"/>
            <w:vAlign w:val="center"/>
          </w:tcPr>
          <w:p w:rsidR="00806643" w:rsidRPr="005B65A3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color w:val="1F497D"/>
                <w:sz w:val="16"/>
                <w:szCs w:val="16"/>
                <w:lang w:val="en-GB"/>
              </w:rPr>
            </w:pPr>
          </w:p>
        </w:tc>
      </w:tr>
      <w:tr w:rsidR="00806643" w:rsidRPr="007673FA" w:rsidTr="00430E03">
        <w:trPr>
          <w:trHeight w:val="371"/>
        </w:trPr>
        <w:tc>
          <w:tcPr>
            <w:tcW w:w="1933" w:type="dxa"/>
            <w:shd w:val="clear" w:color="auto" w:fill="FFFFFF"/>
            <w:vAlign w:val="center"/>
          </w:tcPr>
          <w:p w:rsidR="00806643" w:rsidRPr="001264FF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806643" w:rsidRPr="005E466D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06643" w:rsidRPr="007673FA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711" w:type="dxa"/>
            <w:shd w:val="clear" w:color="auto" w:fill="FFFFFF"/>
            <w:vAlign w:val="center"/>
          </w:tcPr>
          <w:p w:rsidR="00806643" w:rsidRPr="00246499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</w:pPr>
            <w:r w:rsidRPr="00246499">
              <w:rPr>
                <w:rFonts w:ascii="Verdana" w:hAnsi="Verdana" w:cs="Arial"/>
                <w:b/>
                <w:color w:val="1F497D"/>
                <w:sz w:val="16"/>
                <w:szCs w:val="16"/>
                <w:lang w:val="en-GB"/>
              </w:rPr>
              <w:t>E  BILBAO01</w:t>
            </w:r>
          </w:p>
        </w:tc>
        <w:tc>
          <w:tcPr>
            <w:tcW w:w="2241" w:type="dxa"/>
            <w:gridSpan w:val="3"/>
            <w:vMerge/>
            <w:shd w:val="clear" w:color="auto" w:fill="FFFFFF"/>
            <w:vAlign w:val="center"/>
          </w:tcPr>
          <w:p w:rsidR="00806643" w:rsidRPr="007673FA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19" w:type="dxa"/>
            <w:vMerge/>
            <w:shd w:val="clear" w:color="auto" w:fill="FFFFFF"/>
            <w:vAlign w:val="center"/>
          </w:tcPr>
          <w:p w:rsidR="00806643" w:rsidRPr="005B65A3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color w:val="1F497D"/>
                <w:sz w:val="16"/>
                <w:szCs w:val="16"/>
                <w:lang w:val="en-GB"/>
              </w:rPr>
            </w:pPr>
          </w:p>
        </w:tc>
      </w:tr>
      <w:tr w:rsidR="00806643" w:rsidRPr="007673FA" w:rsidTr="00430E03">
        <w:trPr>
          <w:trHeight w:val="559"/>
        </w:trPr>
        <w:tc>
          <w:tcPr>
            <w:tcW w:w="1933" w:type="dxa"/>
            <w:shd w:val="clear" w:color="auto" w:fill="FFFFFF"/>
            <w:vAlign w:val="center"/>
          </w:tcPr>
          <w:p w:rsidR="00806643" w:rsidRPr="007673FA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420" w:type="dxa"/>
            <w:gridSpan w:val="2"/>
            <w:shd w:val="clear" w:color="auto" w:fill="FFFFFF"/>
            <w:vAlign w:val="center"/>
          </w:tcPr>
          <w:p w:rsidR="00806643" w:rsidRPr="00885425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color w:val="1F497D"/>
                <w:sz w:val="14"/>
                <w:szCs w:val="14"/>
                <w:lang w:val="es-ES"/>
              </w:rPr>
            </w:pPr>
            <w:r w:rsidRPr="00885425">
              <w:rPr>
                <w:rFonts w:ascii="Verdana" w:hAnsi="Verdana" w:cs="Arial"/>
                <w:color w:val="1F497D"/>
                <w:sz w:val="14"/>
                <w:szCs w:val="14"/>
                <w:lang w:val="es-ES"/>
              </w:rPr>
              <w:t>OFICINA DE RELACIONES INTERNACIONALES</w:t>
            </w:r>
          </w:p>
          <w:p w:rsidR="00806643" w:rsidRPr="00885425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color w:val="1F497D"/>
                <w:sz w:val="14"/>
                <w:szCs w:val="14"/>
                <w:lang w:val="es-ES"/>
              </w:rPr>
            </w:pPr>
            <w:r w:rsidRPr="00885425">
              <w:rPr>
                <w:rFonts w:ascii="Verdana" w:hAnsi="Verdana" w:cs="Arial"/>
                <w:color w:val="1F497D"/>
                <w:sz w:val="14"/>
                <w:szCs w:val="14"/>
                <w:lang w:val="es-ES"/>
              </w:rPr>
              <w:t>BARRIO SARRIENA S/N</w:t>
            </w:r>
          </w:p>
          <w:p w:rsidR="00806643" w:rsidRPr="00246499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color w:val="1F497D"/>
                <w:sz w:val="16"/>
                <w:szCs w:val="16"/>
                <w:lang w:val="es-ES"/>
              </w:rPr>
            </w:pPr>
            <w:r w:rsidRPr="00885425">
              <w:rPr>
                <w:rFonts w:ascii="Verdana" w:hAnsi="Verdana" w:cs="Arial"/>
                <w:color w:val="1F497D"/>
                <w:sz w:val="14"/>
                <w:szCs w:val="14"/>
                <w:lang w:val="es-ES"/>
              </w:rPr>
              <w:t>48940 LEIOA</w:t>
            </w:r>
          </w:p>
        </w:tc>
        <w:tc>
          <w:tcPr>
            <w:tcW w:w="1532" w:type="dxa"/>
            <w:gridSpan w:val="2"/>
            <w:shd w:val="clear" w:color="auto" w:fill="FFFFFF"/>
            <w:vAlign w:val="center"/>
          </w:tcPr>
          <w:p w:rsidR="00806643" w:rsidRPr="005E466D" w:rsidRDefault="00806643" w:rsidP="00430E0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119" w:type="dxa"/>
            <w:shd w:val="clear" w:color="auto" w:fill="FFFFFF"/>
            <w:vAlign w:val="center"/>
          </w:tcPr>
          <w:p w:rsidR="00806643" w:rsidRPr="005B65A3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color w:val="1F497D"/>
                <w:sz w:val="16"/>
                <w:szCs w:val="16"/>
                <w:lang w:val="en-GB"/>
              </w:rPr>
            </w:pPr>
            <w:r w:rsidRPr="005B65A3">
              <w:rPr>
                <w:rFonts w:ascii="Verdana" w:hAnsi="Verdana" w:cs="Arial"/>
                <w:color w:val="1F497D"/>
                <w:sz w:val="16"/>
                <w:szCs w:val="16"/>
                <w:lang w:val="en-GB"/>
              </w:rPr>
              <w:t>SPAIN (ES)</w:t>
            </w:r>
          </w:p>
        </w:tc>
      </w:tr>
      <w:tr w:rsidR="00806643" w:rsidRPr="00E02718" w:rsidTr="00430E03">
        <w:tc>
          <w:tcPr>
            <w:tcW w:w="1933" w:type="dxa"/>
            <w:shd w:val="clear" w:color="auto" w:fill="FFFFFF"/>
            <w:vAlign w:val="center"/>
          </w:tcPr>
          <w:p w:rsidR="00806643" w:rsidRPr="007673FA" w:rsidRDefault="00806643" w:rsidP="00430E0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711" w:type="dxa"/>
            <w:shd w:val="clear" w:color="auto" w:fill="FFFFFF"/>
            <w:vAlign w:val="center"/>
          </w:tcPr>
          <w:p w:rsidR="00806643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color w:val="1F497D"/>
                <w:sz w:val="16"/>
                <w:szCs w:val="16"/>
                <w:lang w:val="es-ES"/>
              </w:rPr>
            </w:pPr>
            <w:r w:rsidRPr="00BD07B3">
              <w:rPr>
                <w:rFonts w:ascii="Verdana" w:hAnsi="Verdana" w:cs="Arial"/>
                <w:color w:val="1F497D"/>
                <w:sz w:val="16"/>
                <w:szCs w:val="16"/>
                <w:lang w:val="es-ES"/>
              </w:rPr>
              <w:t xml:space="preserve">Gorka Orueta </w:t>
            </w:r>
            <w:proofErr w:type="spellStart"/>
            <w:r w:rsidRPr="00BD07B3">
              <w:rPr>
                <w:rFonts w:ascii="Verdana" w:hAnsi="Verdana" w:cs="Arial"/>
                <w:color w:val="1F497D"/>
                <w:sz w:val="16"/>
                <w:szCs w:val="16"/>
                <w:lang w:val="es-ES"/>
              </w:rPr>
              <w:t>Estibariz</w:t>
            </w:r>
            <w:proofErr w:type="spellEnd"/>
            <w:r w:rsidRPr="00BD07B3">
              <w:rPr>
                <w:rFonts w:ascii="Verdana" w:hAnsi="Verdana" w:cs="Arial"/>
                <w:color w:val="1F497D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Verdana" w:hAnsi="Verdana" w:cs="Arial"/>
                <w:color w:val="1F497D"/>
                <w:sz w:val="16"/>
                <w:szCs w:val="16"/>
                <w:lang w:val="es-ES"/>
              </w:rPr>
              <w:t xml:space="preserve">Director </w:t>
            </w:r>
          </w:p>
          <w:p w:rsidR="00806643" w:rsidRPr="00BD07B3" w:rsidRDefault="00656D9E" w:rsidP="00430E03">
            <w:pPr>
              <w:spacing w:after="0"/>
              <w:ind w:right="-993"/>
              <w:jc w:val="left"/>
              <w:rPr>
                <w:rFonts w:ascii="Verdana" w:hAnsi="Verdana" w:cs="Arial"/>
                <w:color w:val="1F497D"/>
                <w:sz w:val="16"/>
                <w:szCs w:val="16"/>
                <w:lang w:val="es-ES"/>
              </w:rPr>
            </w:pPr>
            <w:r>
              <w:rPr>
                <w:rFonts w:ascii="Verdana" w:hAnsi="Verdana" w:cs="Arial"/>
                <w:color w:val="1F497D"/>
                <w:sz w:val="16"/>
                <w:szCs w:val="16"/>
                <w:lang w:val="es-ES"/>
              </w:rPr>
              <w:t>f</w:t>
            </w:r>
            <w:r w:rsidR="00806643">
              <w:rPr>
                <w:rFonts w:ascii="Verdana" w:hAnsi="Verdana" w:cs="Arial"/>
                <w:color w:val="1F497D"/>
                <w:sz w:val="16"/>
                <w:szCs w:val="16"/>
                <w:lang w:val="es-ES"/>
              </w:rPr>
              <w:t xml:space="preserve">or International Mobility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06643" w:rsidRPr="00E02718" w:rsidRDefault="00806643" w:rsidP="00430E0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59" w:type="dxa"/>
            <w:gridSpan w:val="2"/>
            <w:shd w:val="clear" w:color="auto" w:fill="FFFFFF"/>
            <w:vAlign w:val="center"/>
          </w:tcPr>
          <w:p w:rsidR="00806643" w:rsidRPr="005B65A3" w:rsidRDefault="00724474" w:rsidP="00430E03">
            <w:pPr>
              <w:spacing w:after="0"/>
              <w:ind w:right="-993"/>
              <w:jc w:val="left"/>
              <w:rPr>
                <w:rFonts w:ascii="Verdana" w:hAnsi="Verdana" w:cs="Arial"/>
                <w:color w:val="1F497D"/>
                <w:sz w:val="16"/>
                <w:szCs w:val="16"/>
                <w:lang w:val="fr-BE"/>
              </w:rPr>
            </w:pPr>
            <w:hyperlink r:id="rId11" w:history="1">
              <w:r w:rsidR="00806643" w:rsidRPr="007D6E85">
                <w:rPr>
                  <w:rStyle w:val="Hipervnculo"/>
                  <w:rFonts w:ascii="Verdana" w:hAnsi="Verdana" w:cs="Arial"/>
                  <w:sz w:val="16"/>
                  <w:szCs w:val="16"/>
                </w:rPr>
                <w:t>director.internacional@ehu.eus</w:t>
              </w:r>
            </w:hyperlink>
          </w:p>
        </w:tc>
      </w:tr>
      <w:tr w:rsidR="00806643" w:rsidRPr="00E02718" w:rsidTr="00430E03">
        <w:tc>
          <w:tcPr>
            <w:tcW w:w="1933" w:type="dxa"/>
            <w:shd w:val="clear" w:color="auto" w:fill="FFFFFF"/>
            <w:vAlign w:val="center"/>
          </w:tcPr>
          <w:p w:rsidR="00806643" w:rsidRPr="00474BE2" w:rsidRDefault="00806643" w:rsidP="00430E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806643" w:rsidRPr="00474BE2" w:rsidRDefault="00806643" w:rsidP="00430E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06643" w:rsidRPr="005E466D" w:rsidRDefault="00806643" w:rsidP="00430E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11" w:type="dxa"/>
            <w:shd w:val="clear" w:color="auto" w:fill="FFFFFF"/>
            <w:vAlign w:val="center"/>
          </w:tcPr>
          <w:p w:rsidR="00806643" w:rsidRPr="00382325" w:rsidRDefault="00806643" w:rsidP="00430E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1F497D"/>
                <w:sz w:val="16"/>
                <w:szCs w:val="16"/>
                <w:lang w:val="en-GB"/>
              </w:rPr>
            </w:pPr>
            <w:r w:rsidRPr="00382325">
              <w:rPr>
                <w:rFonts w:ascii="Verdana" w:hAnsi="Verdana" w:cs="Arial"/>
                <w:color w:val="1F497D"/>
                <w:sz w:val="16"/>
                <w:szCs w:val="16"/>
                <w:lang w:val="en-GB"/>
              </w:rPr>
              <w:t>85.4 Higher Education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806643" w:rsidRPr="00782942" w:rsidRDefault="00806643" w:rsidP="00430E0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806643" w:rsidRPr="00F8532D" w:rsidRDefault="00806643" w:rsidP="00430E0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gridSpan w:val="2"/>
            <w:shd w:val="clear" w:color="auto" w:fill="FFFFFF"/>
            <w:vAlign w:val="center"/>
          </w:tcPr>
          <w:p w:rsidR="00806643" w:rsidRPr="005B65A3" w:rsidRDefault="00806643" w:rsidP="00430E03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B65A3">
              <w:rPr>
                <w:rFonts w:ascii="Verdana" w:eastAsia="MS Gothic" w:hAnsi="MS Gothic" w:cs="Arial"/>
                <w:sz w:val="16"/>
                <w:szCs w:val="16"/>
                <w:lang w:val="en-GB"/>
              </w:rPr>
              <w:t>☐</w:t>
            </w:r>
            <w:r w:rsidRPr="005B65A3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806643" w:rsidRPr="005B65A3" w:rsidRDefault="00806643" w:rsidP="00430E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sym w:font="Wingdings" w:char="F078"/>
            </w:r>
            <w:r w:rsidRPr="005B65A3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806643" w:rsidRPr="00F8532D" w:rsidRDefault="00806643" w:rsidP="00806643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72447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72447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="006756AE">
        <w:rPr>
          <w:rFonts w:ascii="Verdana" w:hAnsi="Verdana"/>
          <w:sz w:val="20"/>
          <w:lang w:val="en-GB"/>
        </w:rPr>
        <w:t xml:space="preserve">: </w:t>
      </w:r>
      <w:r w:rsidR="006756AE" w:rsidRPr="004775AA">
        <w:rPr>
          <w:rFonts w:ascii="Verdana" w:hAnsi="Verdana" w:cs="Calibri"/>
          <w:highlight w:val="yellow"/>
          <w:lang w:val="es-ES"/>
        </w:rPr>
        <w:t>____________________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EA286D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656D9E">
              <w:rPr>
                <w:rFonts w:ascii="Verdana" w:hAnsi="Verdana" w:cs="Calibri"/>
                <w:sz w:val="20"/>
                <w:lang w:val="en-GB"/>
              </w:rPr>
              <w:t xml:space="preserve"> Gorka Orueta </w:t>
            </w:r>
            <w:proofErr w:type="spellStart"/>
            <w:r w:rsidR="00656D9E">
              <w:rPr>
                <w:rFonts w:ascii="Verdana" w:hAnsi="Verdana" w:cs="Calibri"/>
                <w:sz w:val="20"/>
                <w:lang w:val="en-GB"/>
              </w:rPr>
              <w:t>Estivariz</w:t>
            </w:r>
            <w:proofErr w:type="spellEnd"/>
            <w:r w:rsidR="006756AE">
              <w:rPr>
                <w:rFonts w:ascii="Verdana" w:hAnsi="Verdana" w:cs="Calibri"/>
                <w:sz w:val="20"/>
                <w:lang w:val="en-GB"/>
              </w:rPr>
              <w:t>, Director for Int. Mobility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78" w:rsidRDefault="00AD6B78">
      <w:r>
        <w:separator/>
      </w:r>
    </w:p>
  </w:endnote>
  <w:endnote w:type="continuationSeparator" w:id="0">
    <w:p w:rsidR="00AD6B78" w:rsidRDefault="00AD6B78">
      <w:r>
        <w:continuationSeparator/>
      </w:r>
    </w:p>
  </w:endnote>
  <w:endnote w:id="1">
    <w:p w:rsidR="00D97FE7" w:rsidRPr="002A2E71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806643" w:rsidRPr="004A4118" w:rsidRDefault="00806643" w:rsidP="0080664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806643" w:rsidRPr="00672D6F" w:rsidRDefault="00806643" w:rsidP="00806643">
      <w:pPr>
        <w:pStyle w:val="Textonotaalfinal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Refdenotaalfinal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are available at </w:t>
      </w:r>
      <w:hyperlink r:id="rId2" w:history="1">
        <w:r w:rsidRPr="00B223B0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6">
    <w:p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724474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C037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78" w:rsidRDefault="00AD6B78">
      <w:r>
        <w:separator/>
      </w:r>
    </w:p>
  </w:footnote>
  <w:footnote w:type="continuationSeparator" w:id="0">
    <w:p w:rsidR="00AD6B78" w:rsidRDefault="00AD6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</w:t>
    </w:r>
    <w:r w:rsidR="00425346">
      <w:rPr>
        <w:rFonts w:ascii="Arial Narrow" w:hAnsi="Arial Narrow"/>
        <w:sz w:val="18"/>
        <w:szCs w:val="18"/>
        <w:lang w:val="en-GB"/>
      </w:rPr>
      <w:t>.7</w:t>
    </w:r>
    <w:r w:rsidR="00E552DA">
      <w:rPr>
        <w:rFonts w:ascii="Arial Narrow" w:hAnsi="Arial Narrow"/>
        <w:sz w:val="18"/>
        <w:szCs w:val="18"/>
        <w:lang w:val="en-GB"/>
      </w:rPr>
      <w:t>-C-Annex-</w:t>
    </w: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35F3D">
      <w:rPr>
        <w:rFonts w:ascii="Arial Narrow" w:hAnsi="Arial Narrow"/>
        <w:sz w:val="18"/>
        <w:szCs w:val="18"/>
        <w:lang w:val="en-GB"/>
      </w:rPr>
      <w:t xml:space="preserve"> </w:t>
    </w:r>
    <w:r w:rsidR="00425346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72447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724474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30721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bookmarkStart w:id="0" w:name="_GoBack"/>
                      <w:bookmarkEnd w:id="0"/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6756AE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highlight w:val="yellow"/>
                          <w:lang w:val="en-GB"/>
                        </w:rPr>
                        <w:t>Participant’s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3"/>
    <o:shapelayout v:ext="edit">
      <o:idmap v:ext="edit" data="30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0C4D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6D9E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6AE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4474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142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43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7D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2E0C4D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2E0C4D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2E0C4D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2E0C4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2E0C4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2E0C4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2E0C4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2E0C4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2E0C4D"/>
    <w:pPr>
      <w:ind w:left="482"/>
    </w:pPr>
  </w:style>
  <w:style w:type="paragraph" w:customStyle="1" w:styleId="Text2">
    <w:name w:val="Text 2"/>
    <w:basedOn w:val="Normal"/>
    <w:rsid w:val="002E0C4D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2E0C4D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2E0C4D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2E0C4D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2E0C4D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2E0C4D"/>
    <w:pPr>
      <w:spacing w:after="720"/>
      <w:ind w:left="5103"/>
      <w:jc w:val="left"/>
    </w:pPr>
  </w:style>
  <w:style w:type="paragraph" w:styleId="Textodebloque">
    <w:name w:val="Block Text"/>
    <w:basedOn w:val="Normal"/>
    <w:rsid w:val="002E0C4D"/>
    <w:pPr>
      <w:spacing w:after="120"/>
      <w:ind w:left="1440" w:right="1440"/>
    </w:pPr>
  </w:style>
  <w:style w:type="paragraph" w:styleId="Textoindependiente">
    <w:name w:val="Body Text"/>
    <w:basedOn w:val="Normal"/>
    <w:rsid w:val="002E0C4D"/>
    <w:pPr>
      <w:spacing w:after="120"/>
    </w:pPr>
  </w:style>
  <w:style w:type="paragraph" w:styleId="Textoindependiente2">
    <w:name w:val="Body Text 2"/>
    <w:basedOn w:val="Normal"/>
    <w:rsid w:val="002E0C4D"/>
    <w:pPr>
      <w:spacing w:after="120" w:line="480" w:lineRule="auto"/>
    </w:pPr>
  </w:style>
  <w:style w:type="paragraph" w:styleId="Textoindependiente3">
    <w:name w:val="Body Text 3"/>
    <w:basedOn w:val="Normal"/>
    <w:rsid w:val="002E0C4D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2E0C4D"/>
    <w:pPr>
      <w:ind w:firstLine="210"/>
    </w:pPr>
  </w:style>
  <w:style w:type="paragraph" w:styleId="Sangradetextonormal">
    <w:name w:val="Body Text Indent"/>
    <w:basedOn w:val="Normal"/>
    <w:rsid w:val="002E0C4D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2E0C4D"/>
    <w:pPr>
      <w:ind w:firstLine="210"/>
    </w:pPr>
  </w:style>
  <w:style w:type="paragraph" w:styleId="Sangra2detindependiente">
    <w:name w:val="Body Text Indent 2"/>
    <w:basedOn w:val="Normal"/>
    <w:rsid w:val="002E0C4D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2E0C4D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2E0C4D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2E0C4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2E0C4D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2E0C4D"/>
    <w:pPr>
      <w:ind w:left="4252"/>
    </w:pPr>
  </w:style>
  <w:style w:type="paragraph" w:styleId="Textocomentario">
    <w:name w:val="annotation text"/>
    <w:basedOn w:val="Normal"/>
    <w:link w:val="TextocomentarioCar"/>
    <w:rsid w:val="002E0C4D"/>
    <w:rPr>
      <w:sz w:val="20"/>
    </w:rPr>
  </w:style>
  <w:style w:type="paragraph" w:styleId="Fecha">
    <w:name w:val="Date"/>
    <w:basedOn w:val="Normal"/>
    <w:next w:val="References"/>
    <w:rsid w:val="002E0C4D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2E0C4D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2E0C4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2E0C4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2E0C4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2E0C4D"/>
    <w:rPr>
      <w:sz w:val="20"/>
    </w:rPr>
  </w:style>
  <w:style w:type="paragraph" w:styleId="Direccinsobre">
    <w:name w:val="envelope address"/>
    <w:basedOn w:val="Normal"/>
    <w:rsid w:val="002E0C4D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2E0C4D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2E0C4D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2E0C4D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2E0C4D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2E0C4D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2E0C4D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2E0C4D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2E0C4D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2E0C4D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2E0C4D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2E0C4D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2E0C4D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2E0C4D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2E0C4D"/>
    <w:rPr>
      <w:rFonts w:ascii="Arial" w:hAnsi="Arial"/>
      <w:b/>
    </w:rPr>
  </w:style>
  <w:style w:type="paragraph" w:styleId="Lista">
    <w:name w:val="List"/>
    <w:basedOn w:val="Normal"/>
    <w:rsid w:val="002E0C4D"/>
    <w:pPr>
      <w:ind w:left="283" w:hanging="283"/>
    </w:pPr>
  </w:style>
  <w:style w:type="paragraph" w:styleId="Lista2">
    <w:name w:val="List 2"/>
    <w:basedOn w:val="Normal"/>
    <w:rsid w:val="002E0C4D"/>
    <w:pPr>
      <w:ind w:left="566" w:hanging="283"/>
    </w:pPr>
  </w:style>
  <w:style w:type="paragraph" w:styleId="Lista3">
    <w:name w:val="List 3"/>
    <w:basedOn w:val="Normal"/>
    <w:rsid w:val="002E0C4D"/>
    <w:pPr>
      <w:ind w:left="849" w:hanging="283"/>
    </w:pPr>
  </w:style>
  <w:style w:type="paragraph" w:styleId="Lista4">
    <w:name w:val="List 4"/>
    <w:basedOn w:val="Normal"/>
    <w:rsid w:val="002E0C4D"/>
    <w:pPr>
      <w:ind w:left="1132" w:hanging="283"/>
    </w:pPr>
  </w:style>
  <w:style w:type="paragraph" w:styleId="Lista5">
    <w:name w:val="List 5"/>
    <w:basedOn w:val="Normal"/>
    <w:rsid w:val="002E0C4D"/>
    <w:pPr>
      <w:ind w:left="1415" w:hanging="283"/>
    </w:pPr>
  </w:style>
  <w:style w:type="paragraph" w:styleId="Listaconvietas">
    <w:name w:val="List Bullet"/>
    <w:basedOn w:val="Normal"/>
    <w:rsid w:val="002E0C4D"/>
    <w:pPr>
      <w:numPr>
        <w:numId w:val="4"/>
      </w:numPr>
    </w:pPr>
  </w:style>
  <w:style w:type="paragraph" w:styleId="Listaconvietas2">
    <w:name w:val="List Bullet 2"/>
    <w:basedOn w:val="Text2"/>
    <w:rsid w:val="002E0C4D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2E0C4D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2E0C4D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2E0C4D"/>
    <w:pPr>
      <w:numPr>
        <w:numId w:val="1"/>
      </w:numPr>
    </w:pPr>
  </w:style>
  <w:style w:type="paragraph" w:styleId="Continuarlista">
    <w:name w:val="List Continue"/>
    <w:basedOn w:val="Normal"/>
    <w:rsid w:val="002E0C4D"/>
    <w:pPr>
      <w:spacing w:after="120"/>
      <w:ind w:left="283"/>
    </w:pPr>
  </w:style>
  <w:style w:type="paragraph" w:styleId="Continuarlista2">
    <w:name w:val="List Continue 2"/>
    <w:basedOn w:val="Normal"/>
    <w:rsid w:val="002E0C4D"/>
    <w:pPr>
      <w:spacing w:after="120"/>
      <w:ind w:left="566"/>
    </w:pPr>
  </w:style>
  <w:style w:type="paragraph" w:styleId="Continuarlista3">
    <w:name w:val="List Continue 3"/>
    <w:basedOn w:val="Normal"/>
    <w:rsid w:val="002E0C4D"/>
    <w:pPr>
      <w:spacing w:after="120"/>
      <w:ind w:left="849"/>
    </w:pPr>
  </w:style>
  <w:style w:type="paragraph" w:styleId="Continuarlista4">
    <w:name w:val="List Continue 4"/>
    <w:basedOn w:val="Normal"/>
    <w:rsid w:val="002E0C4D"/>
    <w:pPr>
      <w:spacing w:after="120"/>
      <w:ind w:left="1132"/>
    </w:pPr>
  </w:style>
  <w:style w:type="paragraph" w:styleId="Continuarlista5">
    <w:name w:val="List Continue 5"/>
    <w:basedOn w:val="Normal"/>
    <w:rsid w:val="002E0C4D"/>
    <w:pPr>
      <w:spacing w:after="120"/>
      <w:ind w:left="1415"/>
    </w:pPr>
  </w:style>
  <w:style w:type="paragraph" w:styleId="Listaconnmeros">
    <w:name w:val="List Number"/>
    <w:basedOn w:val="Normal"/>
    <w:rsid w:val="002E0C4D"/>
    <w:pPr>
      <w:numPr>
        <w:numId w:val="14"/>
      </w:numPr>
    </w:pPr>
  </w:style>
  <w:style w:type="paragraph" w:styleId="Listaconnmeros2">
    <w:name w:val="List Number 2"/>
    <w:basedOn w:val="Text2"/>
    <w:rsid w:val="002E0C4D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2E0C4D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2E0C4D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2E0C4D"/>
    <w:pPr>
      <w:numPr>
        <w:numId w:val="2"/>
      </w:numPr>
    </w:pPr>
  </w:style>
  <w:style w:type="paragraph" w:styleId="Textomacro">
    <w:name w:val="macro"/>
    <w:semiHidden/>
    <w:rsid w:val="002E0C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2E0C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2E0C4D"/>
    <w:pPr>
      <w:ind w:left="720"/>
    </w:pPr>
  </w:style>
  <w:style w:type="paragraph" w:styleId="Encabezadodenota">
    <w:name w:val="Note Heading"/>
    <w:basedOn w:val="Normal"/>
    <w:next w:val="Normal"/>
    <w:rsid w:val="002E0C4D"/>
  </w:style>
  <w:style w:type="paragraph" w:customStyle="1" w:styleId="NoteHead">
    <w:name w:val="NoteHead"/>
    <w:basedOn w:val="Normal"/>
    <w:next w:val="Subject"/>
    <w:rsid w:val="002E0C4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2E0C4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2E0C4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2E0C4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2E0C4D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2E0C4D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2E0C4D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2E0C4D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2E0C4D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2E0C4D"/>
  </w:style>
  <w:style w:type="paragraph" w:styleId="Firma">
    <w:name w:val="Signature"/>
    <w:basedOn w:val="Normal"/>
    <w:next w:val="Enclosures"/>
    <w:rsid w:val="002E0C4D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2E0C4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2E0C4D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2E0C4D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2E0C4D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2E0C4D"/>
    <w:pPr>
      <w:ind w:left="480" w:hanging="480"/>
    </w:pPr>
  </w:style>
  <w:style w:type="paragraph" w:styleId="Ttulo">
    <w:name w:val="Title"/>
    <w:basedOn w:val="Normal"/>
    <w:next w:val="SubTitle1"/>
    <w:rsid w:val="002E0C4D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2E0C4D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2E0C4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2E0C4D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2E0C4D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2E0C4D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2E0C4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2E0C4D"/>
    <w:pPr>
      <w:ind w:left="1200"/>
    </w:pPr>
  </w:style>
  <w:style w:type="paragraph" w:styleId="TDC7">
    <w:name w:val="toc 7"/>
    <w:basedOn w:val="Normal"/>
    <w:next w:val="Normal"/>
    <w:autoRedefine/>
    <w:semiHidden/>
    <w:rsid w:val="002E0C4D"/>
    <w:pPr>
      <w:ind w:left="1440"/>
    </w:pPr>
  </w:style>
  <w:style w:type="paragraph" w:styleId="TDC8">
    <w:name w:val="toc 8"/>
    <w:basedOn w:val="Normal"/>
    <w:next w:val="Normal"/>
    <w:autoRedefine/>
    <w:semiHidden/>
    <w:rsid w:val="002E0C4D"/>
    <w:pPr>
      <w:ind w:left="1680"/>
    </w:pPr>
  </w:style>
  <w:style w:type="paragraph" w:styleId="TDC9">
    <w:name w:val="toc 9"/>
    <w:basedOn w:val="Normal"/>
    <w:next w:val="Normal"/>
    <w:autoRedefine/>
    <w:semiHidden/>
    <w:rsid w:val="002E0C4D"/>
    <w:pPr>
      <w:ind w:left="1920"/>
    </w:pPr>
  </w:style>
  <w:style w:type="paragraph" w:customStyle="1" w:styleId="YReferences">
    <w:name w:val="YReferences"/>
    <w:basedOn w:val="Normal"/>
    <w:next w:val="Normal"/>
    <w:rsid w:val="002E0C4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2E0C4D"/>
    <w:pPr>
      <w:numPr>
        <w:numId w:val="5"/>
      </w:numPr>
    </w:pPr>
  </w:style>
  <w:style w:type="paragraph" w:customStyle="1" w:styleId="ListDash">
    <w:name w:val="List Dash"/>
    <w:basedOn w:val="Normal"/>
    <w:rsid w:val="002E0C4D"/>
    <w:pPr>
      <w:numPr>
        <w:numId w:val="9"/>
      </w:numPr>
    </w:pPr>
  </w:style>
  <w:style w:type="paragraph" w:customStyle="1" w:styleId="ListDash1">
    <w:name w:val="List Dash 1"/>
    <w:basedOn w:val="Text1"/>
    <w:rsid w:val="002E0C4D"/>
    <w:pPr>
      <w:numPr>
        <w:numId w:val="10"/>
      </w:numPr>
    </w:pPr>
  </w:style>
  <w:style w:type="paragraph" w:customStyle="1" w:styleId="ListDash2">
    <w:name w:val="List Dash 2"/>
    <w:basedOn w:val="Text2"/>
    <w:rsid w:val="002E0C4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2E0C4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2E0C4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2E0C4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2E0C4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2E0C4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2E0C4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2E0C4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2E0C4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2E0C4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2E0C4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2E0C4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2E0C4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2E0C4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2E0C4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2E0C4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2E0C4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2E0C4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2E0C4D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2E0C4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2E0C4D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ctor.internac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sharepoint/v3/fields"/>
    <ds:schemaRef ds:uri="http://schemas.openxmlformats.org/package/2006/metadata/core-properties"/>
    <ds:schemaRef ds:uri="0e52a87e-fa0e-4867-9149-5c43122db7f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838A35-C907-499B-A012-4D495FA7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16</TotalTime>
  <Pages>3</Pages>
  <Words>385</Words>
  <Characters>2540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2920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Nuria Arregi</cp:lastModifiedBy>
  <cp:revision>6</cp:revision>
  <cp:lastPrinted>2013-11-06T08:46:00Z</cp:lastPrinted>
  <dcterms:created xsi:type="dcterms:W3CDTF">2016-03-09T11:08:00Z</dcterms:created>
  <dcterms:modified xsi:type="dcterms:W3CDTF">2017-04-06T10:16:00Z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