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4A" w:rsidRDefault="009C184A" w:rsidP="009C184A">
      <w:pPr>
        <w:pBdr>
          <w:bottom w:val="single" w:sz="4" w:space="1" w:color="auto"/>
        </w:pBdr>
        <w:shd w:val="clear" w:color="auto" w:fill="FFFFFF" w:themeFill="background1"/>
        <w:jc w:val="both"/>
        <w:rPr>
          <w:rFonts w:ascii="Cambria" w:hAnsi="Cambria" w:cs="Cambria"/>
          <w:bCs/>
          <w:shd w:val="clear" w:color="auto" w:fill="D9D9D9"/>
        </w:rPr>
      </w:pPr>
      <w:r w:rsidRPr="009C184A">
        <w:rPr>
          <w:rFonts w:ascii="Cambria" w:hAnsi="Cambria" w:cs="Cambria"/>
          <w:bCs/>
          <w:shd w:val="clear" w:color="auto" w:fill="D9D9D9"/>
        </w:rPr>
        <w:t>Apartado de la memoria justificativa 4.1.1</w:t>
      </w:r>
    </w:p>
    <w:p w:rsidR="009C184A" w:rsidRDefault="009C184A" w:rsidP="009C184A">
      <w:pPr>
        <w:pBdr>
          <w:bottom w:val="single" w:sz="4" w:space="1" w:color="auto"/>
        </w:pBdr>
        <w:shd w:val="clear" w:color="auto" w:fill="FFFFFF" w:themeFill="background1"/>
        <w:jc w:val="both"/>
        <w:rPr>
          <w:rFonts w:ascii="Cambria" w:hAnsi="Cambria" w:cs="Cambria"/>
          <w:b/>
          <w:bCs/>
          <w:shd w:val="clear" w:color="auto" w:fill="D9D9D9"/>
        </w:rPr>
      </w:pPr>
    </w:p>
    <w:p w:rsidR="009C184A" w:rsidRDefault="009C184A" w:rsidP="009C184A">
      <w:pPr>
        <w:pBdr>
          <w:bottom w:val="single" w:sz="4" w:space="1" w:color="auto"/>
        </w:pBdr>
        <w:jc w:val="both"/>
        <w:rPr>
          <w:rFonts w:ascii="Cambria" w:hAnsi="Cambria" w:cs="Cambria"/>
          <w:b/>
          <w:bCs/>
          <w:shd w:val="clear" w:color="auto" w:fill="D9D9D9"/>
        </w:rPr>
      </w:pPr>
    </w:p>
    <w:p w:rsidR="009C184A" w:rsidRPr="00400884" w:rsidRDefault="009C184A" w:rsidP="009C184A">
      <w:pPr>
        <w:pBdr>
          <w:bottom w:val="single" w:sz="4" w:space="1" w:color="auto"/>
        </w:pBdr>
        <w:jc w:val="both"/>
        <w:rPr>
          <w:rFonts w:ascii="Cambria" w:hAnsi="Cambria" w:cs="Cambria"/>
          <w:b/>
          <w:bCs/>
          <w:shd w:val="clear" w:color="auto" w:fill="D9D9D9"/>
        </w:rPr>
      </w:pPr>
      <w:r>
        <w:rPr>
          <w:rFonts w:ascii="Cambria" w:hAnsi="Cambria" w:cs="Cambria"/>
          <w:b/>
          <w:bCs/>
          <w:shd w:val="clear" w:color="auto" w:fill="D9D9D9"/>
        </w:rPr>
        <w:t>ACTIVIDADES FORMATIVAS/MOVILIDAD</w:t>
      </w:r>
    </w:p>
    <w:p w:rsidR="009C184A" w:rsidRDefault="009C184A" w:rsidP="009C184A">
      <w:pPr>
        <w:jc w:val="both"/>
      </w:pPr>
    </w:p>
    <w:p w:rsidR="009C184A" w:rsidRPr="005E7968" w:rsidRDefault="009C184A" w:rsidP="009C184A">
      <w:pPr>
        <w:pStyle w:val="Encabezado"/>
        <w:tabs>
          <w:tab w:val="left" w:pos="709"/>
        </w:tabs>
        <w:jc w:val="both"/>
        <w:rPr>
          <w:rFonts w:ascii="Cambria" w:hAnsi="Cambria"/>
          <w:b/>
        </w:rPr>
      </w:pPr>
      <w:r w:rsidRPr="005E7968">
        <w:rPr>
          <w:rFonts w:ascii="Cambria" w:hAnsi="Cambria"/>
          <w:b/>
        </w:rPr>
        <w:t xml:space="preserve">4.1.1. </w:t>
      </w:r>
      <w:r w:rsidRPr="005E7968">
        <w:rPr>
          <w:rFonts w:ascii="Cambria" w:hAnsi="Cambria"/>
          <w:b/>
        </w:rPr>
        <w:tab/>
        <w:t xml:space="preserve">ACTIVIDADES FORMATIVAS  DE FORMACIÓN TRANSVERSAL </w:t>
      </w:r>
    </w:p>
    <w:p w:rsidR="009C184A" w:rsidRDefault="009C184A" w:rsidP="009C184A">
      <w:pPr>
        <w:ind w:left="-142"/>
        <w:jc w:val="both"/>
      </w:pPr>
    </w:p>
    <w:tbl>
      <w:tblPr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ook w:val="04A0"/>
      </w:tblPr>
      <w:tblGrid>
        <w:gridCol w:w="8644"/>
      </w:tblGrid>
      <w:tr w:rsidR="009C184A" w:rsidTr="000C67B3">
        <w:trPr>
          <w:trHeight w:val="4258"/>
        </w:trPr>
        <w:tc>
          <w:tcPr>
            <w:tcW w:w="8644" w:type="dxa"/>
          </w:tcPr>
          <w:p w:rsidR="009C184A" w:rsidRPr="00172128" w:rsidRDefault="009C184A" w:rsidP="000C67B3">
            <w:pPr>
              <w:jc w:val="both"/>
              <w:rPr>
                <w:rFonts w:ascii="Cambria" w:hAnsi="Cambria"/>
              </w:rPr>
            </w:pPr>
          </w:p>
          <w:p w:rsidR="009C184A" w:rsidRPr="00621613" w:rsidRDefault="009C184A" w:rsidP="000C67B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="Cambria" w:hAnsi="Cambria" w:cs="Arial"/>
              </w:rPr>
            </w:pPr>
            <w:r w:rsidRPr="00621613">
              <w:rPr>
                <w:rFonts w:ascii="Cambria" w:hAnsi="Cambria" w:cs="Arial"/>
              </w:rPr>
              <w:t xml:space="preserve">En el ámbito de sus competencias (R.D. 99/2011 y BOPV 26 de Abril de 2012), la Escuela de Máster y Doctorado de la Universidad del País Vasco/ </w:t>
            </w:r>
            <w:proofErr w:type="spellStart"/>
            <w:r w:rsidRPr="00621613">
              <w:rPr>
                <w:rFonts w:ascii="Cambria" w:hAnsi="Cambria" w:cs="Arial"/>
              </w:rPr>
              <w:t>Euskal</w:t>
            </w:r>
            <w:proofErr w:type="spellEnd"/>
            <w:r w:rsidRPr="00621613">
              <w:rPr>
                <w:rFonts w:ascii="Cambria" w:hAnsi="Cambria" w:cs="Arial"/>
              </w:rPr>
              <w:t xml:space="preserve"> </w:t>
            </w:r>
            <w:proofErr w:type="spellStart"/>
            <w:r w:rsidRPr="00621613">
              <w:rPr>
                <w:rFonts w:ascii="Cambria" w:hAnsi="Cambria" w:cs="Arial"/>
              </w:rPr>
              <w:t>Herriko</w:t>
            </w:r>
            <w:proofErr w:type="spellEnd"/>
            <w:r w:rsidRPr="00621613">
              <w:rPr>
                <w:rFonts w:ascii="Cambria" w:hAnsi="Cambria" w:cs="Arial"/>
              </w:rPr>
              <w:t xml:space="preserve"> </w:t>
            </w:r>
            <w:proofErr w:type="spellStart"/>
            <w:r w:rsidRPr="00621613">
              <w:rPr>
                <w:rFonts w:ascii="Cambria" w:hAnsi="Cambria" w:cs="Arial"/>
              </w:rPr>
              <w:t>Unibertsitatea</w:t>
            </w:r>
            <w:proofErr w:type="spellEnd"/>
            <w:r w:rsidRPr="00621613">
              <w:rPr>
                <w:rFonts w:ascii="Cambria" w:hAnsi="Cambria" w:cs="Arial"/>
              </w:rPr>
              <w:t xml:space="preserve"> oferta una serie de actividades de formación transversal para los doctorandos y las doctorandas. Estas actividades se recogen en un catálogo al que se accede desde la página web de la Escuela (</w:t>
            </w:r>
            <w:hyperlink r:id="rId4" w:history="1">
              <w:r w:rsidRPr="00621613">
                <w:rPr>
                  <w:rStyle w:val="Hipervnculo"/>
                  <w:rFonts w:ascii="Cambria" w:hAnsi="Cambria" w:cs="Arial"/>
                </w:rPr>
                <w:t>www.ehu.es/mde</w:t>
              </w:r>
            </w:hyperlink>
            <w:r w:rsidRPr="00621613">
              <w:rPr>
                <w:rFonts w:ascii="Cambria" w:hAnsi="Cambria" w:cs="Arial"/>
              </w:rPr>
              <w:t>).</w:t>
            </w:r>
          </w:p>
          <w:p w:rsidR="009C184A" w:rsidRPr="00621613" w:rsidRDefault="009C184A" w:rsidP="000C67B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="Cambria" w:hAnsi="Cambria" w:cs="Arial"/>
              </w:rPr>
            </w:pPr>
          </w:p>
          <w:p w:rsidR="009C184A" w:rsidRPr="00621613" w:rsidRDefault="009C184A" w:rsidP="000C67B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="Cambria" w:hAnsi="Cambria" w:cs="Arial"/>
              </w:rPr>
            </w:pPr>
            <w:r w:rsidRPr="00621613">
              <w:rPr>
                <w:rFonts w:ascii="Cambria" w:hAnsi="Cambria" w:cs="Arial"/>
              </w:rPr>
              <w:t xml:space="preserve">Dentro de estas actividades transversales, durante los primeros meses de cada curso académico, </w:t>
            </w:r>
            <w:r w:rsidRPr="003C67D4">
              <w:rPr>
                <w:rFonts w:ascii="Cambria" w:hAnsi="Cambria" w:cs="Arial"/>
              </w:rPr>
              <w:t>la Biblioteca (BUPV) junto con la Escuela de Máster y Doctorado (</w:t>
            </w:r>
            <w:proofErr w:type="spellStart"/>
            <w:r w:rsidRPr="003C67D4">
              <w:rPr>
                <w:rFonts w:ascii="Cambria" w:hAnsi="Cambria" w:cs="Arial"/>
              </w:rPr>
              <w:t>MDe</w:t>
            </w:r>
            <w:proofErr w:type="spellEnd"/>
            <w:r w:rsidRPr="003C67D4">
              <w:rPr>
                <w:rFonts w:ascii="Cambria" w:hAnsi="Cambria" w:cs="Arial"/>
              </w:rPr>
              <w:t xml:space="preserve">), ofertará, </w:t>
            </w:r>
            <w:r w:rsidRPr="00621613">
              <w:rPr>
                <w:rFonts w:ascii="Cambria" w:hAnsi="Cambria" w:cs="Arial"/>
              </w:rPr>
              <w:t>en cada uno de los campus de la UPV/ EHU, un curso de “Herramientas y recursos de información para doctorado” de 12 horas.</w:t>
            </w:r>
          </w:p>
          <w:p w:rsidR="009C184A" w:rsidRPr="00621613" w:rsidRDefault="009C184A" w:rsidP="000C67B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="Cambria" w:hAnsi="Cambria" w:cs="Arial"/>
              </w:rPr>
            </w:pPr>
          </w:p>
          <w:p w:rsidR="009C184A" w:rsidRPr="00621613" w:rsidRDefault="009C184A" w:rsidP="000C67B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1613">
              <w:rPr>
                <w:rFonts w:ascii="Cambria" w:hAnsi="Cambria" w:cs="Arial"/>
              </w:rPr>
              <w:t xml:space="preserve">Además, la Escuela de Máster y Doctorado de la UPV/EHU en colaboración con las Escuelas de Doctorado de la </w:t>
            </w:r>
            <w:proofErr w:type="spellStart"/>
            <w:r w:rsidRPr="00621613">
              <w:rPr>
                <w:rFonts w:ascii="Cambria" w:hAnsi="Cambria" w:cs="Arial"/>
              </w:rPr>
              <w:t>Université</w:t>
            </w:r>
            <w:proofErr w:type="spellEnd"/>
            <w:r w:rsidRPr="00621613">
              <w:rPr>
                <w:rFonts w:ascii="Cambria" w:hAnsi="Cambria" w:cs="Arial"/>
              </w:rPr>
              <w:t xml:space="preserve"> de Pau et des </w:t>
            </w:r>
            <w:proofErr w:type="spellStart"/>
            <w:r w:rsidRPr="00621613">
              <w:rPr>
                <w:rFonts w:ascii="Cambria" w:hAnsi="Cambria" w:cs="Arial"/>
              </w:rPr>
              <w:t>Pays</w:t>
            </w:r>
            <w:proofErr w:type="spellEnd"/>
            <w:r w:rsidRPr="00621613">
              <w:rPr>
                <w:rFonts w:ascii="Cambria" w:hAnsi="Cambria" w:cs="Arial"/>
              </w:rPr>
              <w:t xml:space="preserve"> de </w:t>
            </w:r>
            <w:proofErr w:type="spellStart"/>
            <w:r w:rsidRPr="00621613">
              <w:rPr>
                <w:rFonts w:ascii="Cambria" w:hAnsi="Cambria" w:cs="Arial"/>
              </w:rPr>
              <w:t>l’Adour</w:t>
            </w:r>
            <w:proofErr w:type="spellEnd"/>
            <w:r w:rsidRPr="00621613">
              <w:rPr>
                <w:rFonts w:ascii="Cambria" w:hAnsi="Cambria" w:cs="Arial"/>
              </w:rPr>
              <w:t xml:space="preserve"> (UPPA), organiza desde 2011 una edición anual de los </w:t>
            </w:r>
            <w:proofErr w:type="spellStart"/>
            <w:r w:rsidRPr="00621613">
              <w:rPr>
                <w:rFonts w:ascii="Cambria" w:hAnsi="Cambria" w:cs="Arial"/>
              </w:rPr>
              <w:t>Doctoriales</w:t>
            </w:r>
            <w:proofErr w:type="spellEnd"/>
            <w:r w:rsidRPr="00621613">
              <w:rPr>
                <w:rFonts w:ascii="Cambria" w:hAnsi="Cambria" w:cs="Arial"/>
              </w:rPr>
              <w:t xml:space="preserve"> transfronterizos. Se trata de seminarios residenciales intensivos, para 80 doctorandos y doctorandas, 40 de cada universidad, cuyas actividades formativas se desarrollan en inglés, durante una semana completa</w:t>
            </w:r>
            <w:r w:rsidRPr="0062161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9C184A" w:rsidRPr="007626A2" w:rsidRDefault="009C184A" w:rsidP="000C67B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:rsidR="009C184A" w:rsidRDefault="009C184A" w:rsidP="000C67B3"/>
          <w:p w:rsidR="009C184A" w:rsidRPr="00172128" w:rsidRDefault="009C184A" w:rsidP="000C67B3">
            <w:pPr>
              <w:jc w:val="both"/>
              <w:rPr>
                <w:b/>
              </w:rPr>
            </w:pPr>
          </w:p>
        </w:tc>
      </w:tr>
    </w:tbl>
    <w:p w:rsidR="009C184A" w:rsidRDefault="009C184A"/>
    <w:sectPr w:rsidR="009C184A" w:rsidSect="00B037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184A"/>
    <w:rsid w:val="00024B4F"/>
    <w:rsid w:val="00055AFF"/>
    <w:rsid w:val="000712B0"/>
    <w:rsid w:val="00071616"/>
    <w:rsid w:val="000A771F"/>
    <w:rsid w:val="000C0602"/>
    <w:rsid w:val="000C6D91"/>
    <w:rsid w:val="001065FB"/>
    <w:rsid w:val="001079AF"/>
    <w:rsid w:val="001162EF"/>
    <w:rsid w:val="00135B22"/>
    <w:rsid w:val="00174FCB"/>
    <w:rsid w:val="001E5E9F"/>
    <w:rsid w:val="001E7530"/>
    <w:rsid w:val="001F1AEB"/>
    <w:rsid w:val="00217AC2"/>
    <w:rsid w:val="002422A7"/>
    <w:rsid w:val="0024507A"/>
    <w:rsid w:val="00252796"/>
    <w:rsid w:val="002579DE"/>
    <w:rsid w:val="002605CF"/>
    <w:rsid w:val="00276A05"/>
    <w:rsid w:val="002D4121"/>
    <w:rsid w:val="002D741B"/>
    <w:rsid w:val="002E0B9B"/>
    <w:rsid w:val="0030140F"/>
    <w:rsid w:val="003065B6"/>
    <w:rsid w:val="003705A7"/>
    <w:rsid w:val="003B6B56"/>
    <w:rsid w:val="003C58E3"/>
    <w:rsid w:val="003C67D4"/>
    <w:rsid w:val="003D0673"/>
    <w:rsid w:val="00400899"/>
    <w:rsid w:val="00413269"/>
    <w:rsid w:val="00450362"/>
    <w:rsid w:val="0048322F"/>
    <w:rsid w:val="0049337A"/>
    <w:rsid w:val="004A0E4F"/>
    <w:rsid w:val="005041FD"/>
    <w:rsid w:val="005053F7"/>
    <w:rsid w:val="00516BF0"/>
    <w:rsid w:val="00565F1C"/>
    <w:rsid w:val="005D17DE"/>
    <w:rsid w:val="005D7BBA"/>
    <w:rsid w:val="005F65BC"/>
    <w:rsid w:val="00625375"/>
    <w:rsid w:val="0062676F"/>
    <w:rsid w:val="00626BF7"/>
    <w:rsid w:val="0063434A"/>
    <w:rsid w:val="006475D6"/>
    <w:rsid w:val="00664041"/>
    <w:rsid w:val="00665AD4"/>
    <w:rsid w:val="0067640D"/>
    <w:rsid w:val="00693CD2"/>
    <w:rsid w:val="006D7849"/>
    <w:rsid w:val="006E544E"/>
    <w:rsid w:val="007210AA"/>
    <w:rsid w:val="007373EA"/>
    <w:rsid w:val="007554DE"/>
    <w:rsid w:val="007605D8"/>
    <w:rsid w:val="007612E2"/>
    <w:rsid w:val="00764D2A"/>
    <w:rsid w:val="007B653B"/>
    <w:rsid w:val="007E2554"/>
    <w:rsid w:val="007F4B7E"/>
    <w:rsid w:val="008074FF"/>
    <w:rsid w:val="00880176"/>
    <w:rsid w:val="00882B56"/>
    <w:rsid w:val="008B0707"/>
    <w:rsid w:val="008B4046"/>
    <w:rsid w:val="008D09A3"/>
    <w:rsid w:val="008E1595"/>
    <w:rsid w:val="009135D7"/>
    <w:rsid w:val="009546A9"/>
    <w:rsid w:val="00994D9E"/>
    <w:rsid w:val="009C184A"/>
    <w:rsid w:val="009D17EE"/>
    <w:rsid w:val="00A233EA"/>
    <w:rsid w:val="00A469DC"/>
    <w:rsid w:val="00A96D04"/>
    <w:rsid w:val="00AB39BE"/>
    <w:rsid w:val="00AD2875"/>
    <w:rsid w:val="00B0370F"/>
    <w:rsid w:val="00B31F53"/>
    <w:rsid w:val="00B53F06"/>
    <w:rsid w:val="00B630FF"/>
    <w:rsid w:val="00B66A7A"/>
    <w:rsid w:val="00B700CC"/>
    <w:rsid w:val="00C1263C"/>
    <w:rsid w:val="00C3691D"/>
    <w:rsid w:val="00C47A8E"/>
    <w:rsid w:val="00C549A0"/>
    <w:rsid w:val="00C738B7"/>
    <w:rsid w:val="00D27657"/>
    <w:rsid w:val="00D50771"/>
    <w:rsid w:val="00DC221E"/>
    <w:rsid w:val="00DD0676"/>
    <w:rsid w:val="00DE70EB"/>
    <w:rsid w:val="00E21860"/>
    <w:rsid w:val="00E47A8C"/>
    <w:rsid w:val="00E65073"/>
    <w:rsid w:val="00E8683D"/>
    <w:rsid w:val="00EC67E5"/>
    <w:rsid w:val="00F72F19"/>
    <w:rsid w:val="00F8515E"/>
    <w:rsid w:val="00FD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9C184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C18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84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9C18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hu.es/m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1090</Characters>
  <Application>Microsoft Office Word</Application>
  <DocSecurity>0</DocSecurity>
  <Lines>9</Lines>
  <Paragraphs>2</Paragraphs>
  <ScaleCrop>false</ScaleCrop>
  <Company>UPV-EHU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Gonzalez Gonzalez</dc:creator>
  <cp:keywords/>
  <dc:description/>
  <cp:lastModifiedBy>Amaia Gonzalez Gonzalez</cp:lastModifiedBy>
  <cp:revision>2</cp:revision>
  <dcterms:created xsi:type="dcterms:W3CDTF">2014-02-10T08:26:00Z</dcterms:created>
  <dcterms:modified xsi:type="dcterms:W3CDTF">2014-02-10T12:21:00Z</dcterms:modified>
</cp:coreProperties>
</file>