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16" w:rsidRPr="00A04B6A" w:rsidRDefault="00160F16" w:rsidP="006539D2">
      <w:pPr>
        <w:jc w:val="center"/>
        <w:rPr>
          <w:b/>
        </w:rPr>
      </w:pPr>
      <w:bookmarkStart w:id="0" w:name="_GoBack"/>
      <w:bookmarkEnd w:id="0"/>
      <w:r w:rsidRPr="00A04B6A">
        <w:rPr>
          <w:b/>
        </w:rPr>
        <w:t xml:space="preserve">GUÍA PARA LA ASIGNACIÓN DOCENTE EN </w:t>
      </w:r>
      <w:r w:rsidR="00CD6E33">
        <w:rPr>
          <w:b/>
        </w:rPr>
        <w:t>LOS</w:t>
      </w:r>
      <w:r w:rsidRPr="00A04B6A">
        <w:rPr>
          <w:b/>
        </w:rPr>
        <w:t xml:space="preserve"> DEPARTAMENTO</w:t>
      </w:r>
      <w:r w:rsidR="00CD6E33">
        <w:rPr>
          <w:b/>
        </w:rPr>
        <w:t>S</w:t>
      </w:r>
    </w:p>
    <w:p w:rsidR="0080031C" w:rsidRPr="0080031C" w:rsidRDefault="0080031C" w:rsidP="00C25D5C">
      <w:pPr>
        <w:jc w:val="both"/>
        <w:rPr>
          <w:b/>
          <w:u w:val="single"/>
        </w:rPr>
      </w:pPr>
      <w:r>
        <w:rPr>
          <w:b/>
          <w:u w:val="single"/>
        </w:rPr>
        <w:t>Objetivo</w:t>
      </w:r>
    </w:p>
    <w:p w:rsidR="00160F16" w:rsidRPr="00A04B6A" w:rsidRDefault="00160F16" w:rsidP="00C25D5C">
      <w:pPr>
        <w:jc w:val="both"/>
      </w:pPr>
      <w:r w:rsidRPr="00A04B6A">
        <w:t xml:space="preserve">Desde el Vicerrectorado de PDI </w:t>
      </w:r>
      <w:r w:rsidR="00FE503F">
        <w:t>recibimos</w:t>
      </w:r>
      <w:r w:rsidRPr="00A04B6A">
        <w:t xml:space="preserve"> numerosas consultas respecto a cómo deben interpretarse conceptos como CDB, CDN o EDR_PDA y cómo deben aplicarse sus valores durante la asignación docente que se realiza en el seno de cada Departamento.</w:t>
      </w:r>
    </w:p>
    <w:p w:rsidR="00A04B6A" w:rsidRPr="00A04B6A" w:rsidRDefault="00160F16" w:rsidP="00C25D5C">
      <w:pPr>
        <w:jc w:val="both"/>
      </w:pPr>
      <w:r w:rsidRPr="00A04B6A">
        <w:t xml:space="preserve">Este documento tan solo pretende </w:t>
      </w:r>
      <w:r w:rsidR="00A04B6A" w:rsidRPr="00A04B6A">
        <w:t xml:space="preserve">ofrecer mayor soporte a los Departamentos en esta labor a través de la interpretación, </w:t>
      </w:r>
      <w:r w:rsidR="00A601B8" w:rsidRPr="00A601B8">
        <w:rPr>
          <w:b/>
        </w:rPr>
        <w:t xml:space="preserve">no exhaustiva y solo </w:t>
      </w:r>
      <w:r w:rsidR="00A04B6A" w:rsidRPr="00A601B8">
        <w:rPr>
          <w:b/>
        </w:rPr>
        <w:t>para los casos más comunes</w:t>
      </w:r>
      <w:r w:rsidR="00A04B6A" w:rsidRPr="00A04B6A">
        <w:t>, de las dos normativas implicadas:</w:t>
      </w:r>
    </w:p>
    <w:p w:rsidR="00A04B6A" w:rsidRPr="00A04B6A" w:rsidRDefault="007169DA" w:rsidP="00C25D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E74B5" w:themeColor="accent1" w:themeShade="BF"/>
          <w:lang w:eastAsia="es-ES"/>
        </w:rPr>
      </w:pPr>
      <w:hyperlink r:id="rId8" w:history="1">
        <w:r w:rsidR="00A04B6A" w:rsidRPr="00A04B6A">
          <w:rPr>
            <w:rFonts w:eastAsia="Times New Roman" w:cstheme="minorHAnsi"/>
            <w:color w:val="2E74B5" w:themeColor="accent1" w:themeShade="BF"/>
            <w:u w:val="single"/>
            <w:lang w:eastAsia="es-ES"/>
          </w:rPr>
          <w:t>Reglamento de asignación de docencia entre el Personal Docente e Investigador de la UPV/EHU (BOPV 3 de febrero de 2021)</w:t>
        </w:r>
      </w:hyperlink>
    </w:p>
    <w:p w:rsidR="00160F16" w:rsidRPr="006D6FC7" w:rsidRDefault="007169DA" w:rsidP="00C25D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E74B5" w:themeColor="accent1" w:themeShade="BF"/>
          <w:u w:val="single"/>
          <w:lang w:eastAsia="es-ES"/>
        </w:rPr>
      </w:pPr>
      <w:hyperlink r:id="rId9" w:history="1">
        <w:r w:rsidR="00A04B6A" w:rsidRPr="006D6FC7">
          <w:rPr>
            <w:color w:val="2E74B5" w:themeColor="accent1" w:themeShade="BF"/>
            <w:u w:val="single"/>
            <w:lang w:eastAsia="es-ES"/>
          </w:rPr>
          <w:t>Normativa PDA curso 202</w:t>
        </w:r>
        <w:r w:rsidR="004C1E88" w:rsidRPr="006D6FC7">
          <w:rPr>
            <w:color w:val="2E74B5" w:themeColor="accent1" w:themeShade="BF"/>
            <w:u w:val="single"/>
            <w:lang w:eastAsia="es-ES"/>
          </w:rPr>
          <w:t>3</w:t>
        </w:r>
        <w:r w:rsidR="00FE503F" w:rsidRPr="006D6FC7">
          <w:rPr>
            <w:color w:val="2E74B5" w:themeColor="accent1" w:themeShade="BF"/>
            <w:u w:val="single"/>
            <w:lang w:eastAsia="es-ES"/>
          </w:rPr>
          <w:t>/2</w:t>
        </w:r>
        <w:r w:rsidR="004C1E88" w:rsidRPr="006D6FC7">
          <w:rPr>
            <w:color w:val="2E74B5" w:themeColor="accent1" w:themeShade="BF"/>
            <w:u w:val="single"/>
            <w:lang w:eastAsia="es-ES"/>
          </w:rPr>
          <w:t>4</w:t>
        </w:r>
      </w:hyperlink>
      <w:r w:rsidR="00A04B6A" w:rsidRPr="006D6FC7">
        <w:rPr>
          <w:rFonts w:eastAsia="Times New Roman" w:cstheme="minorHAnsi"/>
          <w:color w:val="2E74B5" w:themeColor="accent1" w:themeShade="BF"/>
          <w:u w:val="single"/>
          <w:lang w:eastAsia="es-ES"/>
        </w:rPr>
        <w:t> </w:t>
      </w:r>
    </w:p>
    <w:p w:rsidR="00160F16" w:rsidRDefault="00160F16" w:rsidP="00C25D5C">
      <w:pPr>
        <w:jc w:val="both"/>
      </w:pPr>
    </w:p>
    <w:p w:rsidR="0080031C" w:rsidRPr="0080031C" w:rsidRDefault="0080031C" w:rsidP="00C25D5C">
      <w:pPr>
        <w:jc w:val="both"/>
        <w:rPr>
          <w:b/>
          <w:u w:val="single"/>
        </w:rPr>
      </w:pPr>
      <w:r w:rsidRPr="0080031C">
        <w:rPr>
          <w:b/>
          <w:u w:val="single"/>
        </w:rPr>
        <w:t>Conceptos</w:t>
      </w:r>
    </w:p>
    <w:p w:rsidR="00A04B6A" w:rsidRDefault="00A04B6A" w:rsidP="00C25D5C">
      <w:pPr>
        <w:jc w:val="both"/>
      </w:pPr>
      <w:r>
        <w:t xml:space="preserve">Primero de todo, cabe clarificar </w:t>
      </w:r>
      <w:r w:rsidR="00A601B8">
        <w:t>el significado de algunos conceptos que se emplearán en el resto del documento:</w:t>
      </w:r>
    </w:p>
    <w:p w:rsidR="00A601B8" w:rsidRDefault="00A601B8" w:rsidP="00C25D5C">
      <w:pPr>
        <w:pStyle w:val="Prrafodelista"/>
        <w:numPr>
          <w:ilvl w:val="0"/>
          <w:numId w:val="2"/>
        </w:numPr>
        <w:jc w:val="both"/>
      </w:pPr>
      <w:r w:rsidRPr="00A601B8">
        <w:rPr>
          <w:b/>
        </w:rPr>
        <w:t>CDB</w:t>
      </w:r>
      <w:r>
        <w:t xml:space="preserve"> (Capacidad Docente Bruta). </w:t>
      </w:r>
      <w:r w:rsidR="006539D2">
        <w:t xml:space="preserve">Capacidad docente </w:t>
      </w:r>
      <w:r w:rsidR="006539D2" w:rsidRPr="006539D2">
        <w:rPr>
          <w:b/>
        </w:rPr>
        <w:t>contratada</w:t>
      </w:r>
      <w:r w:rsidR="00FB3E20">
        <w:t xml:space="preserve">, número máximo de créditos a impartir por un docente. </w:t>
      </w:r>
      <w:r>
        <w:t xml:space="preserve">Sus valores </w:t>
      </w:r>
      <w:r w:rsidR="00FE503F">
        <w:t>“</w:t>
      </w:r>
      <w:r>
        <w:t>más habituales</w:t>
      </w:r>
      <w:r w:rsidR="00FE503F">
        <w:t>”</w:t>
      </w:r>
      <w:r>
        <w:t xml:space="preserve"> </w:t>
      </w:r>
      <w:r w:rsidR="00FE503F">
        <w:t xml:space="preserve">(son solo ejemplos, hay situaciones particulares a considerar) </w:t>
      </w:r>
      <w:r>
        <w:t>son:</w:t>
      </w:r>
    </w:p>
    <w:p w:rsidR="00A601B8" w:rsidRDefault="00A601B8" w:rsidP="00C25D5C">
      <w:pPr>
        <w:pStyle w:val="Prrafodelista"/>
        <w:numPr>
          <w:ilvl w:val="1"/>
          <w:numId w:val="2"/>
        </w:numPr>
        <w:jc w:val="both"/>
      </w:pPr>
      <w:r>
        <w:t>30 créditos para Titular de Escuela Universitaria</w:t>
      </w:r>
    </w:p>
    <w:p w:rsidR="00A601B8" w:rsidRDefault="00A601B8" w:rsidP="00C25D5C">
      <w:pPr>
        <w:pStyle w:val="Prrafodelista"/>
        <w:numPr>
          <w:ilvl w:val="1"/>
          <w:numId w:val="2"/>
        </w:numPr>
        <w:jc w:val="both"/>
      </w:pPr>
      <w:r>
        <w:t xml:space="preserve">24 créditos para </w:t>
      </w:r>
      <w:r w:rsidR="0080031C">
        <w:t>Agre</w:t>
      </w:r>
      <w:r w:rsidR="00647BCA">
        <w:t>gada</w:t>
      </w:r>
      <w:r>
        <w:t xml:space="preserve"> o Titular de Universidad</w:t>
      </w:r>
    </w:p>
    <w:p w:rsidR="00A601B8" w:rsidRDefault="00A601B8" w:rsidP="00A2730C">
      <w:pPr>
        <w:pStyle w:val="Prrafodelista"/>
        <w:numPr>
          <w:ilvl w:val="1"/>
          <w:numId w:val="2"/>
        </w:numPr>
        <w:jc w:val="both"/>
      </w:pPr>
      <w:r>
        <w:t>22 créditos para personal permanente con un sexenio</w:t>
      </w:r>
    </w:p>
    <w:p w:rsidR="00647BCA" w:rsidRDefault="00647BCA" w:rsidP="00A2730C">
      <w:pPr>
        <w:pStyle w:val="Prrafodelista"/>
        <w:numPr>
          <w:ilvl w:val="1"/>
          <w:numId w:val="2"/>
        </w:numPr>
        <w:jc w:val="both"/>
      </w:pPr>
      <w:r>
        <w:t xml:space="preserve">16 créditos </w:t>
      </w:r>
      <w:r w:rsidR="00CD6E33">
        <w:t>para personal permanente con</w:t>
      </w:r>
      <w:r>
        <w:t xml:space="preserve"> tres sexenios o más</w:t>
      </w:r>
    </w:p>
    <w:p w:rsidR="00A601B8" w:rsidRDefault="00160F16" w:rsidP="00C25D5C">
      <w:pPr>
        <w:pStyle w:val="Prrafodelista"/>
        <w:numPr>
          <w:ilvl w:val="0"/>
          <w:numId w:val="2"/>
        </w:numPr>
        <w:jc w:val="both"/>
      </w:pPr>
      <w:r w:rsidRPr="00A601B8">
        <w:rPr>
          <w:b/>
        </w:rPr>
        <w:t>CDN</w:t>
      </w:r>
      <w:r w:rsidRPr="00A04B6A">
        <w:t xml:space="preserve"> (Capacidad Docente Neta)</w:t>
      </w:r>
      <w:r w:rsidR="00A601B8">
        <w:t>. Obtenido tras sustraer a la CDB</w:t>
      </w:r>
      <w:r w:rsidR="0068751B">
        <w:t xml:space="preserve"> los créditos de reducción por cargo académico, licencia y/o</w:t>
      </w:r>
      <w:r w:rsidR="00A601B8">
        <w:t xml:space="preserve"> bajas</w:t>
      </w:r>
      <w:r w:rsidR="0068751B">
        <w:t>.</w:t>
      </w:r>
    </w:p>
    <w:p w:rsidR="00A601B8" w:rsidRDefault="00C26FA4" w:rsidP="00C25D5C">
      <w:pPr>
        <w:pStyle w:val="Prrafodelista"/>
        <w:numPr>
          <w:ilvl w:val="0"/>
          <w:numId w:val="2"/>
        </w:numPr>
        <w:jc w:val="both"/>
      </w:pPr>
      <w:r>
        <w:rPr>
          <w:b/>
        </w:rPr>
        <w:t xml:space="preserve">Créditos descontados por </w:t>
      </w:r>
      <w:r w:rsidR="00A601B8">
        <w:rPr>
          <w:b/>
        </w:rPr>
        <w:t xml:space="preserve">PDA </w:t>
      </w:r>
      <w:r w:rsidR="00A601B8">
        <w:t xml:space="preserve">(Plan de Dedicación Académica). Aplicado al PDI permanente a tiempo completo y </w:t>
      </w:r>
      <w:r w:rsidR="00FE503F">
        <w:t xml:space="preserve">al </w:t>
      </w:r>
      <w:r w:rsidR="00A601B8">
        <w:t>personal en formación ocupando plaza de RPT. Recoge y cuantifica en créditos algunas actividades que “</w:t>
      </w:r>
      <w:r w:rsidR="00A601B8" w:rsidRPr="0068751B">
        <w:rPr>
          <w:b/>
        </w:rPr>
        <w:t>pueden</w:t>
      </w:r>
      <w:r w:rsidR="00A601B8">
        <w:t>” llegar a descontarse de la CDN</w:t>
      </w:r>
      <w:r w:rsidR="0068751B">
        <w:t xml:space="preserve"> individual en algunos casos</w:t>
      </w:r>
      <w:r w:rsidR="00A601B8">
        <w:t>. Tipos de actividades</w:t>
      </w:r>
      <w:r w:rsidR="0068751B">
        <w:t xml:space="preserve"> imputables</w:t>
      </w:r>
      <w:r w:rsidR="00A601B8">
        <w:t>:</w:t>
      </w:r>
    </w:p>
    <w:p w:rsidR="0068751B" w:rsidRPr="0068751B" w:rsidRDefault="0068751B" w:rsidP="00C25D5C">
      <w:pPr>
        <w:pStyle w:val="Prrafodelista"/>
        <w:numPr>
          <w:ilvl w:val="1"/>
          <w:numId w:val="3"/>
        </w:numPr>
        <w:jc w:val="both"/>
        <w:rPr>
          <w:b/>
        </w:rPr>
      </w:pPr>
      <w:r w:rsidRPr="0068751B">
        <w:rPr>
          <w:b/>
        </w:rPr>
        <w:t>INV</w:t>
      </w:r>
      <w:r>
        <w:t>. (Intensificación en investigación) Ver tabla 1 de la normativa</w:t>
      </w:r>
    </w:p>
    <w:p w:rsidR="0068751B" w:rsidRPr="0068751B" w:rsidRDefault="0068751B" w:rsidP="00C25D5C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>DNR</w:t>
      </w:r>
      <w:r>
        <w:t>. (Docencia No Regular) Ver tabla 2 de la normativa</w:t>
      </w:r>
    </w:p>
    <w:p w:rsidR="0068751B" w:rsidRPr="0068751B" w:rsidRDefault="0068751B" w:rsidP="00C25D5C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>G</w:t>
      </w:r>
      <w:r>
        <w:t>. (Gestión Avanzada) Ver tabla 3 de la normativa</w:t>
      </w:r>
    </w:p>
    <w:p w:rsidR="00A601B8" w:rsidRPr="0068751B" w:rsidRDefault="00A601B8" w:rsidP="00C25D5C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>DR</w:t>
      </w:r>
      <w:r w:rsidR="0068751B">
        <w:t>. (Docencia Regular) Ver tabla 4 de la normativa</w:t>
      </w:r>
    </w:p>
    <w:p w:rsidR="00737AD3" w:rsidRDefault="00737AD3" w:rsidP="00737AD3">
      <w:pPr>
        <w:pStyle w:val="Prrafodelista"/>
        <w:numPr>
          <w:ilvl w:val="0"/>
          <w:numId w:val="2"/>
        </w:numPr>
        <w:jc w:val="both"/>
      </w:pPr>
      <w:r>
        <w:rPr>
          <w:b/>
        </w:rPr>
        <w:t>EDR_Efectivo</w:t>
      </w:r>
      <w:r>
        <w:t>. Incluye:</w:t>
      </w:r>
    </w:p>
    <w:p w:rsidR="00737AD3" w:rsidRDefault="00737AD3" w:rsidP="00737AD3">
      <w:pPr>
        <w:pStyle w:val="Prrafodelista"/>
        <w:numPr>
          <w:ilvl w:val="1"/>
          <w:numId w:val="2"/>
        </w:numPr>
        <w:jc w:val="both"/>
      </w:pPr>
      <w:r>
        <w:t xml:space="preserve">Créditos de docencia regular </w:t>
      </w:r>
      <w:r w:rsidRPr="00A2730C">
        <w:t xml:space="preserve">(grado, máster, </w:t>
      </w:r>
      <w:r w:rsidR="00FE503F">
        <w:t>p</w:t>
      </w:r>
      <w:r w:rsidRPr="00A2730C">
        <w:t>racticum)</w:t>
      </w:r>
      <w:r>
        <w:t xml:space="preserve"> a impartir (</w:t>
      </w:r>
      <w:r w:rsidR="00FE503F">
        <w:t xml:space="preserve">concepto </w:t>
      </w:r>
      <w:r>
        <w:t>13.1)</w:t>
      </w:r>
    </w:p>
    <w:p w:rsidR="00737AD3" w:rsidRPr="00A04B6A" w:rsidRDefault="00737AD3" w:rsidP="00737AD3">
      <w:pPr>
        <w:pStyle w:val="Prrafodelista"/>
        <w:numPr>
          <w:ilvl w:val="1"/>
          <w:numId w:val="2"/>
        </w:numPr>
        <w:jc w:val="both"/>
      </w:pPr>
      <w:r>
        <w:t>Créditos</w:t>
      </w:r>
      <w:r w:rsidR="00FE503F">
        <w:t xml:space="preserve"> ‘diferidos’ o</w:t>
      </w:r>
      <w:r>
        <w:t xml:space="preserve"> de d</w:t>
      </w:r>
      <w:r w:rsidRPr="00A2730C">
        <w:t xml:space="preserve">ocencia regular correspondiente a dos cursos académicos anteriores (tesis doctorales, TFM, TFG, PFC, </w:t>
      </w:r>
      <w:r>
        <w:t>Prácticas Externas Voluntarias</w:t>
      </w:r>
      <w:r w:rsidRPr="00A2730C">
        <w:t>)</w:t>
      </w:r>
      <w:r>
        <w:t xml:space="preserve"> (</w:t>
      </w:r>
      <w:r w:rsidR="00FE503F">
        <w:t xml:space="preserve">concepto </w:t>
      </w:r>
      <w:r>
        <w:t>13.2)</w:t>
      </w:r>
    </w:p>
    <w:p w:rsidR="00A601B8" w:rsidRDefault="00160F16" w:rsidP="00C25D5C">
      <w:pPr>
        <w:pStyle w:val="Prrafodelista"/>
        <w:numPr>
          <w:ilvl w:val="0"/>
          <w:numId w:val="2"/>
        </w:numPr>
        <w:jc w:val="both"/>
      </w:pPr>
      <w:r w:rsidRPr="00A601B8">
        <w:rPr>
          <w:b/>
        </w:rPr>
        <w:t>EDR_PDA</w:t>
      </w:r>
      <w:r w:rsidRPr="00A04B6A">
        <w:t xml:space="preserve"> (Encargo Docente Regular tras aplicación del </w:t>
      </w:r>
      <w:r w:rsidR="000F50B0">
        <w:t>PDA</w:t>
      </w:r>
      <w:r w:rsidRPr="00A04B6A">
        <w:t>)</w:t>
      </w:r>
      <w:r w:rsidR="00A601B8">
        <w:t xml:space="preserve">. </w:t>
      </w:r>
      <w:r w:rsidR="0068751B">
        <w:t xml:space="preserve">Docencia regular a impartir </w:t>
      </w:r>
      <w:r w:rsidR="0080031C" w:rsidRPr="00FE503F">
        <w:rPr>
          <w:u w:val="single"/>
        </w:rPr>
        <w:t xml:space="preserve">en el caso de que </w:t>
      </w:r>
      <w:r w:rsidR="00BF4185" w:rsidRPr="00FE503F">
        <w:rPr>
          <w:u w:val="single"/>
        </w:rPr>
        <w:t>en el departamento destino exista holgura (</w:t>
      </w:r>
      <w:r w:rsidR="00A2730C" w:rsidRPr="00FE503F">
        <w:rPr>
          <w:u w:val="single"/>
        </w:rPr>
        <w:t>CDN-EDR</w:t>
      </w:r>
      <w:r w:rsidR="00FE503F" w:rsidRPr="00FE503F">
        <w:rPr>
          <w:u w:val="single"/>
        </w:rPr>
        <w:t>_Efectivo</w:t>
      </w:r>
      <w:r w:rsidR="00BF4185" w:rsidRPr="00FE503F">
        <w:rPr>
          <w:u w:val="single"/>
        </w:rPr>
        <w:t>) suficiente</w:t>
      </w:r>
      <w:r w:rsidR="0068751B">
        <w:t>.</w:t>
      </w:r>
    </w:p>
    <w:p w:rsidR="00737AD3" w:rsidRDefault="00737AD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60F16" w:rsidRPr="0080031C" w:rsidRDefault="0080031C" w:rsidP="00C25D5C">
      <w:pPr>
        <w:jc w:val="both"/>
        <w:rPr>
          <w:b/>
          <w:u w:val="single"/>
        </w:rPr>
      </w:pPr>
      <w:r w:rsidRPr="0080031C">
        <w:rPr>
          <w:b/>
          <w:u w:val="single"/>
        </w:rPr>
        <w:lastRenderedPageBreak/>
        <w:t>Pasos en la asignación docente</w:t>
      </w:r>
    </w:p>
    <w:p w:rsidR="00B9590D" w:rsidRDefault="0080031C" w:rsidP="00C25D5C">
      <w:pPr>
        <w:jc w:val="both"/>
      </w:pPr>
      <w:r>
        <w:t xml:space="preserve">El Consejo del Departamento es el órgano competente y </w:t>
      </w:r>
      <w:r w:rsidR="00C25D5C">
        <w:t xml:space="preserve">el documento de referencia es el </w:t>
      </w:r>
      <w:hyperlink r:id="rId10" w:history="1">
        <w:r w:rsidR="00C25D5C" w:rsidRPr="006D6FC7">
          <w:rPr>
            <w:rStyle w:val="Hipervnculo"/>
          </w:rPr>
          <w:t>Reglamento de asignación de docencia entre el Personal Docente e Investigador de la UPV/EHU (BOPV 3 de febrero de 2021)</w:t>
        </w:r>
      </w:hyperlink>
      <w:r w:rsidR="00C25D5C">
        <w:t>.</w:t>
      </w:r>
      <w:r w:rsidR="006539D2">
        <w:t xml:space="preserve"> </w:t>
      </w:r>
    </w:p>
    <w:p w:rsidR="00034AA3" w:rsidRDefault="00034AA3" w:rsidP="00034AA3">
      <w:pPr>
        <w:jc w:val="both"/>
      </w:pPr>
      <w:r>
        <w:t xml:space="preserve">El Departamento tiene la obligación de cumplir con el encargo docente asignando profesores a las asignaturas. </w:t>
      </w:r>
      <w:r w:rsidR="00CD6E33">
        <w:t>Esta tarea puede dar lugar a dos situaciones:</w:t>
      </w:r>
    </w:p>
    <w:p w:rsidR="00034AA3" w:rsidRDefault="00034AA3" w:rsidP="00034AA3">
      <w:pPr>
        <w:pStyle w:val="Prrafodelista"/>
        <w:numPr>
          <w:ilvl w:val="0"/>
          <w:numId w:val="3"/>
        </w:numPr>
        <w:jc w:val="both"/>
      </w:pPr>
      <w:r>
        <w:t xml:space="preserve">El </w:t>
      </w:r>
      <w:r w:rsidRPr="009F790C">
        <w:rPr>
          <w:b/>
        </w:rPr>
        <w:t>acuerdo</w:t>
      </w:r>
      <w:r w:rsidR="00CD6E33">
        <w:t xml:space="preserve"> entre los miembros (la situación </w:t>
      </w:r>
      <w:r>
        <w:t>siempre deseable). Puede llegarse a los equilibrios internos que se estimen oportunos, con acuerdos de validez interna, siempre y cuando se cumpla la máxima de satisfacer el encargo docente asignado al departamento.</w:t>
      </w:r>
    </w:p>
    <w:p w:rsidR="00034AA3" w:rsidRDefault="00034AA3" w:rsidP="00C25D5C">
      <w:pPr>
        <w:pStyle w:val="Prrafodelista"/>
        <w:numPr>
          <w:ilvl w:val="0"/>
          <w:numId w:val="3"/>
        </w:numPr>
        <w:jc w:val="both"/>
      </w:pPr>
      <w:r w:rsidRPr="009F790C">
        <w:rPr>
          <w:b/>
        </w:rPr>
        <w:t>Desacuerdo formal</w:t>
      </w:r>
      <w:r>
        <w:t xml:space="preserve">. Pasarían a aplicarse las normativas de manera estricta y sin margen para </w:t>
      </w:r>
      <w:r w:rsidR="000F50B0">
        <w:t>otros</w:t>
      </w:r>
      <w:r>
        <w:t xml:space="preserve"> acuerdo</w:t>
      </w:r>
      <w:r w:rsidR="000F50B0">
        <w:t>s</w:t>
      </w:r>
      <w:r>
        <w:t xml:space="preserve"> interno</w:t>
      </w:r>
      <w:r w:rsidR="000F50B0">
        <w:t>s</w:t>
      </w:r>
      <w:r>
        <w:t>.</w:t>
      </w:r>
    </w:p>
    <w:p w:rsidR="00DF78AC" w:rsidRDefault="00B9590D" w:rsidP="00C25D5C">
      <w:pPr>
        <w:jc w:val="both"/>
      </w:pPr>
      <w:r>
        <w:rPr>
          <w:b/>
        </w:rPr>
        <w:t>El Departamento debe</w:t>
      </w:r>
      <w:r w:rsidR="006539D2" w:rsidRPr="006539D2">
        <w:rPr>
          <w:b/>
        </w:rPr>
        <w:t xml:space="preserve"> garantizar la asignación del encargo docente encomendado</w:t>
      </w:r>
      <w:r>
        <w:t xml:space="preserve">, por ello, </w:t>
      </w:r>
      <w:r>
        <w:rPr>
          <w:b/>
        </w:rPr>
        <w:t>e</w:t>
      </w:r>
      <w:r w:rsidR="006539D2" w:rsidRPr="006539D2">
        <w:rPr>
          <w:b/>
        </w:rPr>
        <w:t xml:space="preserve">l punto de partida es el contraste </w:t>
      </w:r>
      <w:r>
        <w:rPr>
          <w:b/>
        </w:rPr>
        <w:t>entre</w:t>
      </w:r>
      <w:r w:rsidR="006539D2" w:rsidRPr="006539D2">
        <w:rPr>
          <w:b/>
        </w:rPr>
        <w:t xml:space="preserve"> CDN y </w:t>
      </w:r>
      <w:r>
        <w:rPr>
          <w:b/>
        </w:rPr>
        <w:t>ED</w:t>
      </w:r>
      <w:r w:rsidR="009F790C">
        <w:rPr>
          <w:b/>
        </w:rPr>
        <w:t>R</w:t>
      </w:r>
      <w:r w:rsidR="00737AD3">
        <w:rPr>
          <w:b/>
        </w:rPr>
        <w:t>_Efectivo</w:t>
      </w:r>
      <w:r w:rsidR="006539D2">
        <w:t xml:space="preserve">. </w:t>
      </w:r>
    </w:p>
    <w:p w:rsidR="00DF78AC" w:rsidRPr="00DF78AC" w:rsidRDefault="00DF78AC" w:rsidP="00C25D5C">
      <w:pPr>
        <w:jc w:val="both"/>
        <w:rPr>
          <w:u w:val="single"/>
        </w:rPr>
      </w:pPr>
      <w:r w:rsidRPr="00DF78AC">
        <w:rPr>
          <w:u w:val="single"/>
        </w:rPr>
        <w:t>Escenario 1. Exceso de encargo: EDR</w:t>
      </w:r>
      <w:r w:rsidR="00737AD3">
        <w:rPr>
          <w:u w:val="single"/>
        </w:rPr>
        <w:t>_Efectivo</w:t>
      </w:r>
      <w:r w:rsidRPr="00DF78AC">
        <w:rPr>
          <w:u w:val="single"/>
        </w:rPr>
        <w:t xml:space="preserve"> &gt; CDN</w:t>
      </w:r>
    </w:p>
    <w:p w:rsidR="006539D2" w:rsidRDefault="00DF78AC" w:rsidP="00C25D5C">
      <w:pPr>
        <w:jc w:val="both"/>
      </w:pPr>
      <w:r>
        <w:t>El Reglamento</w:t>
      </w:r>
      <w:r w:rsidR="006539D2">
        <w:t xml:space="preserve"> indica cómo actuar</w:t>
      </w:r>
      <w:r>
        <w:t>:</w:t>
      </w:r>
      <w:r w:rsidR="006539D2">
        <w:t xml:space="preserve"> </w:t>
      </w:r>
    </w:p>
    <w:p w:rsidR="00C25D5C" w:rsidRPr="006539D2" w:rsidRDefault="00C25D5C" w:rsidP="001B0F6E">
      <w:pPr>
        <w:ind w:left="270"/>
        <w:jc w:val="both"/>
        <w:rPr>
          <w:i/>
        </w:rPr>
      </w:pPr>
      <w:r w:rsidRPr="006539D2">
        <w:rPr>
          <w:i/>
        </w:rPr>
        <w:t>Artículo 3.5. “Con carácter excepcional, se podrá asignar al personal docente e investigador un encargo docente (sin tener en cuenta los reconocimientos de créditos docentes) superior a su capacidad docente</w:t>
      </w:r>
      <w:r w:rsidR="006539D2" w:rsidRPr="006539D2">
        <w:rPr>
          <w:i/>
        </w:rPr>
        <w:t>.</w:t>
      </w:r>
      <w:r w:rsidRPr="006539D2">
        <w:rPr>
          <w:i/>
        </w:rPr>
        <w:t xml:space="preserve"> Dichos excesos, se le compensarán, en una planificación plurianual de la docencia durante los dos cursos siguientes y no superarán, en total, los 3 créditos de encargo por curso académico, salvo que sea acordado con el personal docente e investigador afectado. Se concretará por el consejo de departamento o, en su caso, la comisión permanente del departamento, la modalidad y el plazo de la compensación, dando cuenta de ello al Vicerrectorado de Personal Docente e Investigador.</w:t>
      </w:r>
    </w:p>
    <w:p w:rsidR="0080031C" w:rsidRDefault="00B9590D" w:rsidP="00C25D5C">
      <w:pPr>
        <w:jc w:val="both"/>
      </w:pPr>
      <w:r>
        <w:t xml:space="preserve">Cuando, aun </w:t>
      </w:r>
      <w:r w:rsidR="00DF78AC">
        <w:t>así,</w:t>
      </w:r>
      <w:r>
        <w:t xml:space="preserve"> no pueda atenderse todo el encargo, se decidirá a cuál hacer frente sigu</w:t>
      </w:r>
      <w:r w:rsidR="00AF308E">
        <w:t>iendo las pautas del Reglamento:</w:t>
      </w:r>
    </w:p>
    <w:p w:rsidR="00AF308E" w:rsidRDefault="00AF308E" w:rsidP="00AF308E">
      <w:pPr>
        <w:pStyle w:val="Prrafodelista"/>
        <w:numPr>
          <w:ilvl w:val="0"/>
          <w:numId w:val="7"/>
        </w:numPr>
        <w:jc w:val="both"/>
      </w:pPr>
      <w:r w:rsidRPr="00DF78AC">
        <w:rPr>
          <w:b/>
        </w:rPr>
        <w:t>Compensación plurianual</w:t>
      </w:r>
      <w:r>
        <w:t>. </w:t>
      </w:r>
    </w:p>
    <w:p w:rsidR="00AF308E" w:rsidRDefault="00AF308E" w:rsidP="00AF308E">
      <w:pPr>
        <w:pStyle w:val="Prrafodelista"/>
        <w:numPr>
          <w:ilvl w:val="0"/>
          <w:numId w:val="7"/>
        </w:numPr>
        <w:jc w:val="both"/>
      </w:pPr>
      <w:r w:rsidRPr="00DF78AC">
        <w:rPr>
          <w:b/>
        </w:rPr>
        <w:t>Eliminación de asignaturas optativas no mínimas para obtención de título oficial</w:t>
      </w:r>
      <w:r>
        <w:t>. La prioridad es la docencia obligatoria asignada al Departamento para grado y máster en títulos oficiales.</w:t>
      </w:r>
      <w:r w:rsidR="000F50B0">
        <w:t xml:space="preserve"> En cualquier caso, una vez atendidos los compromisos más prioritarios del Departamento, siempre puede permitirse la opción de que alguien asuma las mencionadas asignaturas optativas por encima de su encargo.</w:t>
      </w:r>
    </w:p>
    <w:p w:rsidR="000F50B0" w:rsidRDefault="00AF308E" w:rsidP="00AF308E">
      <w:pPr>
        <w:pStyle w:val="Prrafodelista"/>
        <w:numPr>
          <w:ilvl w:val="0"/>
          <w:numId w:val="7"/>
        </w:numPr>
        <w:jc w:val="both"/>
      </w:pPr>
      <w:r w:rsidRPr="00DF78AC">
        <w:rPr>
          <w:b/>
        </w:rPr>
        <w:t>Eliminación de otro tipo de docencia que no es responsabilidad del departamento</w:t>
      </w:r>
      <w:r w:rsidR="000F50B0">
        <w:rPr>
          <w:b/>
        </w:rPr>
        <w:t xml:space="preserve">. </w:t>
      </w:r>
      <w:r w:rsidR="000F50B0">
        <w:t>En cualquier caso, una vez atendidos los compromisos más prioritarios del Departamento, siempre puede permitirse la opción de que alguien asuma la mencionada docencia por encima de su encargo.</w:t>
      </w:r>
    </w:p>
    <w:p w:rsidR="00AF308E" w:rsidRDefault="00AF308E" w:rsidP="00AF308E">
      <w:pPr>
        <w:pStyle w:val="Prrafodelista"/>
        <w:numPr>
          <w:ilvl w:val="0"/>
          <w:numId w:val="7"/>
        </w:numPr>
        <w:jc w:val="both"/>
      </w:pPr>
      <w:r w:rsidRPr="00DF78AC">
        <w:rPr>
          <w:b/>
        </w:rPr>
        <w:t>Asignación de docencia a otras secciones</w:t>
      </w:r>
      <w:r>
        <w:t xml:space="preserve"> del Departamento. </w:t>
      </w:r>
    </w:p>
    <w:p w:rsidR="00AF308E" w:rsidRDefault="00AF308E" w:rsidP="00AF308E">
      <w:pPr>
        <w:pStyle w:val="Prrafodelista"/>
        <w:numPr>
          <w:ilvl w:val="0"/>
          <w:numId w:val="7"/>
        </w:numPr>
        <w:jc w:val="both"/>
      </w:pPr>
      <w:r>
        <w:t>Solicitud de </w:t>
      </w:r>
      <w:r w:rsidRPr="00DF78AC">
        <w:rPr>
          <w:b/>
        </w:rPr>
        <w:t>atribución transitoria a otro D</w:t>
      </w:r>
      <w:r>
        <w:rPr>
          <w:b/>
        </w:rPr>
        <w:t>e</w:t>
      </w:r>
      <w:r w:rsidRPr="00DF78AC">
        <w:rPr>
          <w:b/>
        </w:rPr>
        <w:t>p</w:t>
      </w:r>
      <w:r>
        <w:rPr>
          <w:b/>
        </w:rPr>
        <w:t>artamento</w:t>
      </w:r>
      <w:r w:rsidRPr="00DF78AC">
        <w:rPr>
          <w:b/>
        </w:rPr>
        <w:t> con áreas afines</w:t>
      </w:r>
      <w:r w:rsidR="00F71CFC">
        <w:rPr>
          <w:b/>
        </w:rPr>
        <w:t>.</w:t>
      </w:r>
    </w:p>
    <w:p w:rsidR="00AF308E" w:rsidRDefault="00AF308E" w:rsidP="00AF308E">
      <w:pPr>
        <w:pStyle w:val="Prrafodelista"/>
        <w:numPr>
          <w:ilvl w:val="0"/>
          <w:numId w:val="7"/>
        </w:numPr>
        <w:jc w:val="both"/>
      </w:pPr>
      <w:r w:rsidRPr="00DF78AC">
        <w:rPr>
          <w:b/>
        </w:rPr>
        <w:t xml:space="preserve">Acotar el número de créditos por </w:t>
      </w:r>
      <w:r w:rsidRPr="000F50B0">
        <w:rPr>
          <w:b/>
          <w:i/>
        </w:rPr>
        <w:t>practicum</w:t>
      </w:r>
      <w:r w:rsidR="000F50B0">
        <w:rPr>
          <w:b/>
        </w:rPr>
        <w:t xml:space="preserve"> y prácticas externas</w:t>
      </w:r>
      <w:r>
        <w:t xml:space="preserve"> de forma coordinada con el </w:t>
      </w:r>
      <w:r w:rsidR="000F50B0">
        <w:t>centro</w:t>
      </w:r>
      <w:r w:rsidR="00F71CFC">
        <w:t>.</w:t>
      </w:r>
    </w:p>
    <w:p w:rsidR="006D6FC7" w:rsidRDefault="006D6FC7" w:rsidP="00AF308E">
      <w:pPr>
        <w:jc w:val="both"/>
      </w:pPr>
    </w:p>
    <w:p w:rsidR="00AF308E" w:rsidRDefault="00AF308E" w:rsidP="00AF308E">
      <w:pPr>
        <w:jc w:val="both"/>
      </w:pPr>
      <w:r>
        <w:lastRenderedPageBreak/>
        <w:t xml:space="preserve">Dentro de la planificación plurianual cabe valorar la adopción de </w:t>
      </w:r>
      <w:r w:rsidR="000F50B0">
        <w:t xml:space="preserve">otras </w:t>
      </w:r>
      <w:r>
        <w:t>medidas coordinadas con el centro para reducir el encargo como puede ser la agrupación de alumnos (en la misma o en diferentes titulaciones) para disminuir la carga de créditos sin deterioro de la calidad de la docencia.</w:t>
      </w:r>
    </w:p>
    <w:p w:rsidR="00AF308E" w:rsidRDefault="00AF308E" w:rsidP="00C25D5C">
      <w:pPr>
        <w:jc w:val="both"/>
      </w:pPr>
    </w:p>
    <w:p w:rsidR="00DF78AC" w:rsidRPr="00DF78AC" w:rsidRDefault="00DF78AC" w:rsidP="00C25D5C">
      <w:pPr>
        <w:jc w:val="both"/>
        <w:rPr>
          <w:u w:val="single"/>
        </w:rPr>
      </w:pPr>
      <w:r>
        <w:rPr>
          <w:u w:val="single"/>
        </w:rPr>
        <w:t>Escenario 2</w:t>
      </w:r>
      <w:r w:rsidRPr="00DF78AC">
        <w:rPr>
          <w:u w:val="single"/>
        </w:rPr>
        <w:t xml:space="preserve">. </w:t>
      </w:r>
      <w:r>
        <w:rPr>
          <w:u w:val="single"/>
        </w:rPr>
        <w:t>Sin exceso de encargo: EDR</w:t>
      </w:r>
      <w:r w:rsidR="00737AD3">
        <w:rPr>
          <w:u w:val="single"/>
        </w:rPr>
        <w:t>_Efectivo</w:t>
      </w:r>
      <w:r>
        <w:rPr>
          <w:u w:val="single"/>
        </w:rPr>
        <w:t xml:space="preserve"> &lt;</w:t>
      </w:r>
      <w:r w:rsidRPr="00DF78AC">
        <w:rPr>
          <w:u w:val="single"/>
        </w:rPr>
        <w:t xml:space="preserve"> CDN</w:t>
      </w:r>
    </w:p>
    <w:p w:rsidR="00737AD3" w:rsidRDefault="00737AD3" w:rsidP="00B9590D">
      <w:pPr>
        <w:jc w:val="both"/>
      </w:pPr>
      <w:r>
        <w:t xml:space="preserve">En este escenario, lo primero que debe asegurarse es que todo docente tiene asignado el mínimo número de créditos de </w:t>
      </w:r>
      <w:r w:rsidRPr="00A20E24">
        <w:rPr>
          <w:b/>
        </w:rPr>
        <w:t xml:space="preserve">docencia </w:t>
      </w:r>
      <w:r w:rsidR="00C26FA4">
        <w:rPr>
          <w:b/>
        </w:rPr>
        <w:t xml:space="preserve">regular </w:t>
      </w:r>
      <w:r w:rsidRPr="00A20E24">
        <w:rPr>
          <w:b/>
        </w:rPr>
        <w:t>en aula</w:t>
      </w:r>
      <w:r w:rsidR="00C26FA4" w:rsidRPr="00C26FA4">
        <w:t xml:space="preserve"> exigido</w:t>
      </w:r>
      <w:r w:rsidR="00C26FA4">
        <w:t xml:space="preserve"> por normativa</w:t>
      </w:r>
      <w:r>
        <w:t>, que será el mayor valor de entre estos dos:</w:t>
      </w:r>
    </w:p>
    <w:p w:rsidR="00737AD3" w:rsidRDefault="00737AD3" w:rsidP="00737AD3">
      <w:pPr>
        <w:pStyle w:val="Prrafodelista"/>
        <w:numPr>
          <w:ilvl w:val="0"/>
          <w:numId w:val="11"/>
        </w:numPr>
        <w:jc w:val="both"/>
      </w:pPr>
      <w:r>
        <w:t>4,5 créditos</w:t>
      </w:r>
    </w:p>
    <w:p w:rsidR="00737AD3" w:rsidRPr="006D6FC7" w:rsidRDefault="00737AD3" w:rsidP="00737AD3">
      <w:pPr>
        <w:pStyle w:val="Prrafodelista"/>
        <w:numPr>
          <w:ilvl w:val="0"/>
          <w:numId w:val="11"/>
        </w:numPr>
        <w:jc w:val="both"/>
      </w:pPr>
      <w:r w:rsidRPr="006D6FC7">
        <w:t>CDN/2</w:t>
      </w:r>
    </w:p>
    <w:p w:rsidR="00DF78AC" w:rsidRPr="006D6FC7" w:rsidRDefault="006D6FC7" w:rsidP="00B9590D">
      <w:pPr>
        <w:jc w:val="both"/>
        <w:rPr>
          <w:b/>
          <w:u w:val="single"/>
        </w:rPr>
      </w:pPr>
      <w:r w:rsidRPr="006D6FC7">
        <w:rPr>
          <w:b/>
          <w:u w:val="single"/>
        </w:rPr>
        <w:t xml:space="preserve">Solo </w:t>
      </w:r>
      <w:r w:rsidR="00737AD3" w:rsidRPr="006D6FC7">
        <w:rPr>
          <w:b/>
          <w:u w:val="single"/>
        </w:rPr>
        <w:t xml:space="preserve">Llegados a este punto, </w:t>
      </w:r>
      <w:r w:rsidR="00DF78AC" w:rsidRPr="006D6FC7">
        <w:rPr>
          <w:b/>
          <w:u w:val="single"/>
        </w:rPr>
        <w:t>se puede</w:t>
      </w:r>
      <w:r w:rsidR="00C26FA4" w:rsidRPr="006D6FC7">
        <w:rPr>
          <w:b/>
          <w:u w:val="single"/>
        </w:rPr>
        <w:t>n</w:t>
      </w:r>
      <w:r w:rsidR="00DF78AC" w:rsidRPr="006D6FC7">
        <w:rPr>
          <w:b/>
          <w:u w:val="single"/>
        </w:rPr>
        <w:t xml:space="preserve"> </w:t>
      </w:r>
      <w:r w:rsidR="00A20E24" w:rsidRPr="006D6FC7">
        <w:rPr>
          <w:b/>
          <w:u w:val="single"/>
        </w:rPr>
        <w:t xml:space="preserve">comenzar a considerar </w:t>
      </w:r>
      <w:r w:rsidR="00C26FA4" w:rsidRPr="006D6FC7">
        <w:rPr>
          <w:b/>
          <w:u w:val="single"/>
        </w:rPr>
        <w:t xml:space="preserve">los créditos descontados por PDA, y por tanto, </w:t>
      </w:r>
      <w:r w:rsidR="00DF78AC" w:rsidRPr="006D6FC7">
        <w:rPr>
          <w:b/>
          <w:u w:val="single"/>
        </w:rPr>
        <w:t>el valor EDR_PDA:</w:t>
      </w:r>
    </w:p>
    <w:p w:rsidR="00DF78AC" w:rsidRDefault="00DF78AC" w:rsidP="00DF78AC">
      <w:pPr>
        <w:pStyle w:val="Prrafodelista"/>
        <w:numPr>
          <w:ilvl w:val="0"/>
          <w:numId w:val="5"/>
        </w:numPr>
        <w:jc w:val="both"/>
      </w:pPr>
      <w:r>
        <w:t xml:space="preserve">En el caso más favorable, asignando a cada docente un </w:t>
      </w:r>
      <w:r w:rsidR="00C26FA4">
        <w:t xml:space="preserve">encargo (EDR_efectivo) </w:t>
      </w:r>
      <w:r>
        <w:t>igual o menor a su EDR_PDA.</w:t>
      </w:r>
    </w:p>
    <w:p w:rsidR="00DF78AC" w:rsidRDefault="00DF78AC" w:rsidP="00DF78AC">
      <w:pPr>
        <w:pStyle w:val="Prrafodelista"/>
        <w:numPr>
          <w:ilvl w:val="0"/>
          <w:numId w:val="5"/>
        </w:numPr>
        <w:jc w:val="both"/>
      </w:pPr>
      <w:r>
        <w:t xml:space="preserve">Si no hay tanta holgura, </w:t>
      </w:r>
      <w:r w:rsidR="00AF308E">
        <w:t>repartiendo</w:t>
      </w:r>
      <w:r>
        <w:t xml:space="preserve"> los créditos</w:t>
      </w:r>
      <w:r w:rsidR="00AF308E">
        <w:t xml:space="preserve"> </w:t>
      </w:r>
      <w:r w:rsidR="00C26FA4">
        <w:t xml:space="preserve">de reconocimientos </w:t>
      </w:r>
      <w:r w:rsidR="00AF308E">
        <w:t>proporcionalmente</w:t>
      </w:r>
      <w:r>
        <w:t xml:space="preserve"> entre </w:t>
      </w:r>
      <w:r w:rsidR="00AF308E">
        <w:t>el PDI</w:t>
      </w:r>
      <w:r>
        <w:t>.</w:t>
      </w:r>
    </w:p>
    <w:p w:rsidR="006A66C0" w:rsidRPr="00F71CFC" w:rsidRDefault="00F71CFC" w:rsidP="00B9590D">
      <w:pPr>
        <w:jc w:val="both"/>
        <w:rPr>
          <w:u w:val="single"/>
        </w:rPr>
      </w:pPr>
      <w:r w:rsidRPr="00F71CFC">
        <w:rPr>
          <w:u w:val="single"/>
        </w:rPr>
        <w:t xml:space="preserve">Escenario 2.1. </w:t>
      </w:r>
      <w:r w:rsidR="006A66C0" w:rsidRPr="00F71CFC">
        <w:rPr>
          <w:u w:val="single"/>
        </w:rPr>
        <w:t>Si EDR</w:t>
      </w:r>
      <w:r w:rsidR="00737AD3" w:rsidRPr="00F71CFC">
        <w:rPr>
          <w:u w:val="single"/>
        </w:rPr>
        <w:t>_Efectivo</w:t>
      </w:r>
      <w:r w:rsidR="006A66C0" w:rsidRPr="00F71CFC">
        <w:rPr>
          <w:u w:val="single"/>
        </w:rPr>
        <w:t xml:space="preserve"> &gt; EDR_PDA</w:t>
      </w:r>
      <w:r w:rsidR="00034AA3" w:rsidRPr="00F71CFC">
        <w:rPr>
          <w:u w:val="single"/>
        </w:rPr>
        <w:t>:</w:t>
      </w:r>
    </w:p>
    <w:p w:rsidR="00034AA3" w:rsidRPr="00034AA3" w:rsidRDefault="00034AA3" w:rsidP="00034AA3">
      <w:pPr>
        <w:jc w:val="both"/>
      </w:pPr>
      <w:r>
        <w:t>La página 5 de la normativa PDA indica:</w:t>
      </w:r>
    </w:p>
    <w:p w:rsidR="004B0537" w:rsidRDefault="00F3506C" w:rsidP="001B0F6E">
      <w:pPr>
        <w:ind w:left="270"/>
        <w:jc w:val="both"/>
        <w:rPr>
          <w:i/>
        </w:rPr>
      </w:pPr>
      <w:r w:rsidRPr="00F3506C">
        <w:rPr>
          <w:b/>
          <w:i/>
        </w:rPr>
        <w:t xml:space="preserve">Una vez computados estas imputaciones de créditos (las referidas a actividades recogidas en PDA: INV, DNR, G, DR) </w:t>
      </w:r>
      <w:r w:rsidR="004B0537" w:rsidRPr="00F3506C">
        <w:rPr>
          <w:b/>
          <w:i/>
        </w:rPr>
        <w:t xml:space="preserve">si la capacidad docente total del departamento </w:t>
      </w:r>
      <w:r w:rsidR="00034AA3">
        <w:rPr>
          <w:b/>
          <w:i/>
        </w:rPr>
        <w:t xml:space="preserve">(la denominamos EDR_PDA tras aplicar PDA al CDN) </w:t>
      </w:r>
      <w:r w:rsidR="004B0537" w:rsidRPr="00F3506C">
        <w:rPr>
          <w:b/>
          <w:i/>
        </w:rPr>
        <w:t>no fuera suficiente para atender el encargo docente asignado al mismo</w:t>
      </w:r>
      <w:r w:rsidR="00034AA3">
        <w:rPr>
          <w:b/>
          <w:i/>
        </w:rPr>
        <w:t xml:space="preserve"> (EDR_Efectivo)</w:t>
      </w:r>
      <w:r w:rsidR="004B0537" w:rsidRPr="00F3506C">
        <w:rPr>
          <w:b/>
          <w:i/>
        </w:rPr>
        <w:t>, el excedente se repartirá proporcionalmente entre el PDI</w:t>
      </w:r>
      <w:r w:rsidR="00AF308E">
        <w:rPr>
          <w:i/>
        </w:rPr>
        <w:t>.</w:t>
      </w:r>
    </w:p>
    <w:p w:rsidR="006A66C0" w:rsidRPr="00F71CFC" w:rsidRDefault="00F71CFC" w:rsidP="006A66C0">
      <w:pPr>
        <w:jc w:val="both"/>
        <w:rPr>
          <w:u w:val="single"/>
        </w:rPr>
      </w:pPr>
      <w:r w:rsidRPr="00F71CFC">
        <w:rPr>
          <w:u w:val="single"/>
        </w:rPr>
        <w:t xml:space="preserve">Escenario 2.2. </w:t>
      </w:r>
      <w:r w:rsidR="006A66C0" w:rsidRPr="00F71CFC">
        <w:rPr>
          <w:u w:val="single"/>
        </w:rPr>
        <w:t>Si EDR</w:t>
      </w:r>
      <w:r w:rsidR="00737AD3" w:rsidRPr="00F71CFC">
        <w:rPr>
          <w:u w:val="single"/>
        </w:rPr>
        <w:t>_Efectivo</w:t>
      </w:r>
      <w:r w:rsidR="006A66C0" w:rsidRPr="00F71CFC">
        <w:rPr>
          <w:u w:val="single"/>
        </w:rPr>
        <w:t xml:space="preserve"> &lt; EDR_PDA</w:t>
      </w:r>
      <w:r w:rsidR="00034AA3" w:rsidRPr="00F71CFC">
        <w:rPr>
          <w:u w:val="single"/>
        </w:rPr>
        <w:t>:</w:t>
      </w:r>
    </w:p>
    <w:p w:rsidR="00034AA3" w:rsidRPr="00AF308E" w:rsidRDefault="00034AA3" w:rsidP="00AF308E">
      <w:pPr>
        <w:jc w:val="both"/>
      </w:pPr>
      <w:r>
        <w:t>La página 5 de la normativa PDA indica:</w:t>
      </w:r>
    </w:p>
    <w:p w:rsidR="006A66C0" w:rsidRPr="006A66C0" w:rsidRDefault="006A66C0" w:rsidP="006A66C0">
      <w:pPr>
        <w:ind w:left="270"/>
        <w:jc w:val="both"/>
        <w:rPr>
          <w:b/>
          <w:i/>
        </w:rPr>
      </w:pPr>
      <w:r w:rsidRPr="006A66C0">
        <w:rPr>
          <w:b/>
          <w:i/>
        </w:rPr>
        <w:t>En el caso de que capacidad docente total del departamento</w:t>
      </w:r>
      <w:r w:rsidR="00034AA3">
        <w:rPr>
          <w:b/>
          <w:i/>
        </w:rPr>
        <w:t xml:space="preserve"> (la denominamos EDR_PDA tras aplicar PDA al CDN)</w:t>
      </w:r>
      <w:r w:rsidRPr="006A66C0">
        <w:rPr>
          <w:b/>
          <w:i/>
        </w:rPr>
        <w:t xml:space="preserve"> fuera excedentaria respecto al encargo docente asignado al mismo</w:t>
      </w:r>
      <w:r w:rsidR="00034AA3">
        <w:rPr>
          <w:b/>
          <w:i/>
        </w:rPr>
        <w:t xml:space="preserve"> (EDR_Efectivo)</w:t>
      </w:r>
      <w:r w:rsidRPr="006A66C0">
        <w:rPr>
          <w:b/>
          <w:i/>
        </w:rPr>
        <w:t xml:space="preserve">, las actividades de docencia regular se asignarán de manera proporcional </w:t>
      </w:r>
      <w:r w:rsidR="00034AA3">
        <w:rPr>
          <w:b/>
          <w:i/>
        </w:rPr>
        <w:t>a la capacidad de cada profesor.</w:t>
      </w:r>
    </w:p>
    <w:p w:rsidR="000438D4" w:rsidRPr="00A04B6A" w:rsidRDefault="00F3506C" w:rsidP="00F3506C">
      <w:pPr>
        <w:jc w:val="both"/>
      </w:pPr>
      <w:r>
        <w:t xml:space="preserve">Cabe mencionar que, además de su papel en la asignación docente, el valor EDR_PDA es tenido en cuenta por la dirección de plantilla </w:t>
      </w:r>
      <w:r w:rsidR="005A124D">
        <w:t xml:space="preserve">en la autorización de sustituciones y en la </w:t>
      </w:r>
      <w:r>
        <w:t>creación de nuevas plazas.</w:t>
      </w:r>
    </w:p>
    <w:sectPr w:rsidR="000438D4" w:rsidRPr="00A04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D4" w:rsidRDefault="00237FD4" w:rsidP="00BF4185">
      <w:pPr>
        <w:spacing w:after="0" w:line="240" w:lineRule="auto"/>
      </w:pPr>
      <w:r>
        <w:separator/>
      </w:r>
    </w:p>
  </w:endnote>
  <w:endnote w:type="continuationSeparator" w:id="0">
    <w:p w:rsidR="00237FD4" w:rsidRDefault="00237FD4" w:rsidP="00B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85" w:rsidRDefault="00BF41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85" w:rsidRDefault="00BF41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85" w:rsidRDefault="00BF41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D4" w:rsidRDefault="00237FD4" w:rsidP="00BF4185">
      <w:pPr>
        <w:spacing w:after="0" w:line="240" w:lineRule="auto"/>
      </w:pPr>
      <w:r>
        <w:separator/>
      </w:r>
    </w:p>
  </w:footnote>
  <w:footnote w:type="continuationSeparator" w:id="0">
    <w:p w:rsidR="00237FD4" w:rsidRDefault="00237FD4" w:rsidP="00B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85" w:rsidRDefault="00BF41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85" w:rsidRDefault="00BF41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85" w:rsidRDefault="00BF41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EA8"/>
    <w:multiLevelType w:val="hybridMultilevel"/>
    <w:tmpl w:val="B3DED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8C0"/>
    <w:multiLevelType w:val="hybridMultilevel"/>
    <w:tmpl w:val="0AEEB5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6DE"/>
    <w:multiLevelType w:val="hybridMultilevel"/>
    <w:tmpl w:val="22C64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4957"/>
    <w:multiLevelType w:val="hybridMultilevel"/>
    <w:tmpl w:val="AF32A1BC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C65534A"/>
    <w:multiLevelType w:val="hybridMultilevel"/>
    <w:tmpl w:val="165E6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27058"/>
    <w:multiLevelType w:val="hybridMultilevel"/>
    <w:tmpl w:val="7D2EC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53174"/>
    <w:multiLevelType w:val="hybridMultilevel"/>
    <w:tmpl w:val="E55C7C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8F2D1B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930458"/>
    <w:multiLevelType w:val="hybridMultilevel"/>
    <w:tmpl w:val="0D828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F2D1B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C39D4"/>
    <w:multiLevelType w:val="hybridMultilevel"/>
    <w:tmpl w:val="6FEE7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038C4"/>
    <w:multiLevelType w:val="hybridMultilevel"/>
    <w:tmpl w:val="113A4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F6A97"/>
    <w:multiLevelType w:val="hybridMultilevel"/>
    <w:tmpl w:val="D0FCF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F2D1B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16"/>
    <w:rsid w:val="00034AA3"/>
    <w:rsid w:val="00040F72"/>
    <w:rsid w:val="000438D4"/>
    <w:rsid w:val="000F50B0"/>
    <w:rsid w:val="00160F16"/>
    <w:rsid w:val="00182771"/>
    <w:rsid w:val="001A7C45"/>
    <w:rsid w:val="001B0F6E"/>
    <w:rsid w:val="00237FD4"/>
    <w:rsid w:val="00242570"/>
    <w:rsid w:val="004A1A8A"/>
    <w:rsid w:val="004B0537"/>
    <w:rsid w:val="004C1E88"/>
    <w:rsid w:val="004F3F5B"/>
    <w:rsid w:val="005A124D"/>
    <w:rsid w:val="00647BCA"/>
    <w:rsid w:val="006539D2"/>
    <w:rsid w:val="0068751B"/>
    <w:rsid w:val="006A66C0"/>
    <w:rsid w:val="006D6FC7"/>
    <w:rsid w:val="007169DA"/>
    <w:rsid w:val="00737AD3"/>
    <w:rsid w:val="007B3500"/>
    <w:rsid w:val="0080031C"/>
    <w:rsid w:val="008A4A5C"/>
    <w:rsid w:val="008D3558"/>
    <w:rsid w:val="0097182D"/>
    <w:rsid w:val="009F790C"/>
    <w:rsid w:val="00A04B6A"/>
    <w:rsid w:val="00A20E24"/>
    <w:rsid w:val="00A2730C"/>
    <w:rsid w:val="00A52C43"/>
    <w:rsid w:val="00A601B8"/>
    <w:rsid w:val="00AF308E"/>
    <w:rsid w:val="00B8090C"/>
    <w:rsid w:val="00B9590D"/>
    <w:rsid w:val="00BF4185"/>
    <w:rsid w:val="00C25D5C"/>
    <w:rsid w:val="00C26FA4"/>
    <w:rsid w:val="00CD6E33"/>
    <w:rsid w:val="00DF78AC"/>
    <w:rsid w:val="00F3506C"/>
    <w:rsid w:val="00F71CFC"/>
    <w:rsid w:val="00FB3E20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1BF3ED-52CE-44AC-8ACF-E1A253BB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B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4B6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185"/>
  </w:style>
  <w:style w:type="paragraph" w:styleId="Piedepgina">
    <w:name w:val="footer"/>
    <w:basedOn w:val="Normal"/>
    <w:link w:val="PiedepginaCar"/>
    <w:uiPriority w:val="99"/>
    <w:unhideWhenUsed/>
    <w:rsid w:val="00BF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documents/3087158/3126654/Nuevo+Reglamento+asignaci%C3%B3n+docencia+PDI+%28BOPV+03022021%29.pdf/ca2843a8-0a62-4f78-d5b6-dd5cd43bfdcd?t=161234996767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hu.eus/documents/3087158/3126654/Nuevo+Reglamento+asignaci%C3%B3n+docencia+PDI+%28BOPV+03022021%29.pdf/ca2843a8-0a62-4f78-d5b6-dd5cd43bfdcd?t=1612349967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u.eus/documents/3087158/6169196/Anexo+PDA+para+2023-24.pdf/d1fc252a-77bb-de41-712f-e4d0a43c3ead?t=167446666924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6F4E-1815-4F0E-AC25-F86FB63C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6360</Characters>
  <Application>Microsoft Office Word</Application>
  <DocSecurity>0</DocSecurity>
  <Lines>124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PORTILLO</dc:creator>
  <cp:keywords/>
  <dc:description/>
  <cp:lastModifiedBy>IRATXE NAVARRO</cp:lastModifiedBy>
  <cp:revision>2</cp:revision>
  <dcterms:created xsi:type="dcterms:W3CDTF">2023-01-24T08:45:00Z</dcterms:created>
  <dcterms:modified xsi:type="dcterms:W3CDTF">2023-01-24T08:45:00Z</dcterms:modified>
</cp:coreProperties>
</file>