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112" w:rsidRDefault="00D96112" w:rsidP="00D96112">
      <w:pPr>
        <w:rPr>
          <w:b/>
        </w:rPr>
      </w:pPr>
      <w:r>
        <w:rPr>
          <w:b/>
        </w:rPr>
        <w:t>CONTRIBUCIÓN DEL TFG TITULADO…………………………………………………………………CONFORME A LOS PRINCIPIOS Y VALORES DEMOCRÁTICOS Y A LOS OBJETIVOS DE DESARROLLO SOSTENIBLE QUE IMPONEN LAS NORMATIVAS DE TFG DE LA UNIVERSIDAD Y DEL CENTRO</w:t>
      </w:r>
    </w:p>
    <w:p w:rsidR="00D96112" w:rsidRDefault="00D96112" w:rsidP="00D96112"/>
    <w:p w:rsidR="00D96112" w:rsidRDefault="00D96112" w:rsidP="00D96112">
      <w:pPr>
        <w:jc w:val="both"/>
        <w:rPr>
          <w:i/>
        </w:rPr>
      </w:pPr>
      <w:r>
        <w:t xml:space="preserve">"El contenido del presente TFG se vincula a los principios y valores democráticos de libertad, justicia, igualdad y pluralismo. Algunos de estos, directamente, por la temática abordada y, otros, de modo transversal. Fundamentalmente se ha tratado de estar en consonancia con la </w:t>
      </w:r>
      <w:proofErr w:type="spellStart"/>
      <w:r>
        <w:t>EHUagenda</w:t>
      </w:r>
      <w:proofErr w:type="spellEnd"/>
      <w:r>
        <w:t xml:space="preserve"> 2030 teniendo presente lo que menciona en su preámbulo: “</w:t>
      </w:r>
      <w:r>
        <w:rPr>
          <w:i/>
        </w:rPr>
        <w:t>las relaciones que los seres humanos entablamos entre nosotros mismos y con la naturaleza necesitan ser reconsideradas y redirigidas para paliar el fuerte sufrimiento humano y ecológico que producimos con nuestros modos de vida actuales</w:t>
      </w:r>
      <w:r>
        <w:t xml:space="preserve">”. Consciente de dicha contradicción, el TFG pretende contribuir a esa transformación de nuestro mundo, de acuerdo con la agenda de NNUU (A/RES/70/1, del 25 de septiembre), asociándose estrechamente con los siguientes ODS que contiene y a los que se suma el décimo octavo recogido en la </w:t>
      </w:r>
      <w:proofErr w:type="spellStart"/>
      <w:r>
        <w:t>EHUagenda</w:t>
      </w:r>
      <w:proofErr w:type="spellEnd"/>
      <w:r>
        <w:t xml:space="preserve"> 2030, “</w:t>
      </w:r>
      <w:r>
        <w:rPr>
          <w:i/>
        </w:rPr>
        <w:t>diversidad lingüística y cultural”.</w:t>
      </w:r>
    </w:p>
    <w:p w:rsidR="00D96112" w:rsidRDefault="00D96112" w:rsidP="00D96112">
      <w:pPr>
        <w:jc w:val="both"/>
      </w:pPr>
      <w:r>
        <w:t xml:space="preserve">En concreto, el presente TFG incide y aspira aportar conocimiento especialmente en los siguientes ODS </w:t>
      </w:r>
      <w:proofErr w:type="gramStart"/>
      <w:r>
        <w:t>(</w:t>
      </w:r>
      <w:r>
        <w:rPr>
          <w:i/>
        </w:rPr>
        <w:t xml:space="preserve"> mínimo</w:t>
      </w:r>
      <w:proofErr w:type="gramEnd"/>
      <w:r>
        <w:rPr>
          <w:i/>
        </w:rPr>
        <w:t xml:space="preserve"> 1 y máximo de 3</w:t>
      </w:r>
      <w:r>
        <w:t>):</w:t>
      </w:r>
    </w:p>
    <w:tbl>
      <w:tblPr>
        <w:tblStyle w:val="Tablaconcuadrcula"/>
        <w:tblW w:w="8500" w:type="dxa"/>
        <w:tblInd w:w="0" w:type="dxa"/>
        <w:tblLook w:val="04A0" w:firstRow="1" w:lastRow="0" w:firstColumn="1" w:lastColumn="0" w:noHBand="0" w:noVBand="1"/>
      </w:tblPr>
      <w:tblGrid>
        <w:gridCol w:w="988"/>
        <w:gridCol w:w="7512"/>
      </w:tblGrid>
      <w:tr w:rsidR="00D96112" w:rsidTr="00D961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112" w:rsidRDefault="00D96112">
            <w:pPr>
              <w:spacing w:line="240" w:lineRule="auto"/>
              <w:jc w:val="both"/>
            </w:pPr>
            <w:r>
              <w:t>ODS nº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112" w:rsidRDefault="00D96112">
            <w:pPr>
              <w:spacing w:line="240" w:lineRule="auto"/>
              <w:jc w:val="both"/>
              <w:rPr>
                <w:i/>
              </w:rPr>
            </w:pPr>
            <w:r>
              <w:rPr>
                <w:i/>
              </w:rPr>
              <w:t>Frase argumentativa</w:t>
            </w:r>
          </w:p>
        </w:tc>
      </w:tr>
      <w:tr w:rsidR="00D96112" w:rsidTr="00D961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12" w:rsidRDefault="00D96112">
            <w:pPr>
              <w:spacing w:line="240" w:lineRule="auto"/>
              <w:jc w:val="both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12" w:rsidRDefault="00D96112">
            <w:pPr>
              <w:spacing w:line="240" w:lineRule="auto"/>
              <w:jc w:val="both"/>
            </w:pPr>
          </w:p>
          <w:p w:rsidR="00D96112" w:rsidRDefault="00D96112">
            <w:pPr>
              <w:spacing w:line="240" w:lineRule="auto"/>
              <w:jc w:val="both"/>
            </w:pPr>
          </w:p>
          <w:p w:rsidR="00D96112" w:rsidRDefault="00D96112">
            <w:pPr>
              <w:spacing w:line="240" w:lineRule="auto"/>
              <w:jc w:val="both"/>
            </w:pPr>
          </w:p>
        </w:tc>
      </w:tr>
      <w:tr w:rsidR="00D96112" w:rsidTr="00D961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12" w:rsidRDefault="00D96112">
            <w:pPr>
              <w:spacing w:line="240" w:lineRule="auto"/>
              <w:jc w:val="both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12" w:rsidRDefault="00D96112">
            <w:pPr>
              <w:spacing w:line="240" w:lineRule="auto"/>
              <w:jc w:val="both"/>
            </w:pPr>
          </w:p>
          <w:p w:rsidR="00D96112" w:rsidRDefault="00D96112">
            <w:pPr>
              <w:spacing w:line="240" w:lineRule="auto"/>
              <w:jc w:val="both"/>
            </w:pPr>
          </w:p>
          <w:p w:rsidR="00D96112" w:rsidRDefault="00D96112">
            <w:pPr>
              <w:spacing w:line="240" w:lineRule="auto"/>
              <w:jc w:val="both"/>
            </w:pPr>
          </w:p>
          <w:p w:rsidR="00D96112" w:rsidRDefault="00D96112">
            <w:pPr>
              <w:spacing w:line="240" w:lineRule="auto"/>
              <w:jc w:val="both"/>
            </w:pPr>
          </w:p>
        </w:tc>
      </w:tr>
      <w:tr w:rsidR="00D96112" w:rsidTr="00D961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12" w:rsidRDefault="00D96112">
            <w:pPr>
              <w:spacing w:line="240" w:lineRule="auto"/>
              <w:jc w:val="both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12" w:rsidRDefault="00D96112">
            <w:pPr>
              <w:spacing w:line="240" w:lineRule="auto"/>
              <w:jc w:val="both"/>
            </w:pPr>
          </w:p>
          <w:p w:rsidR="00D96112" w:rsidRDefault="00D96112">
            <w:pPr>
              <w:spacing w:line="240" w:lineRule="auto"/>
              <w:jc w:val="both"/>
            </w:pPr>
          </w:p>
          <w:p w:rsidR="00D96112" w:rsidRDefault="00D96112">
            <w:pPr>
              <w:spacing w:line="240" w:lineRule="auto"/>
              <w:jc w:val="both"/>
            </w:pPr>
          </w:p>
          <w:p w:rsidR="00D96112" w:rsidRDefault="00D96112">
            <w:pPr>
              <w:spacing w:line="240" w:lineRule="auto"/>
              <w:jc w:val="both"/>
            </w:pPr>
          </w:p>
        </w:tc>
      </w:tr>
    </w:tbl>
    <w:p w:rsidR="00D96112" w:rsidRDefault="00D96112" w:rsidP="00D96112">
      <w:pPr>
        <w:jc w:val="both"/>
      </w:pPr>
    </w:p>
    <w:p w:rsidR="00D96112" w:rsidRDefault="00D96112" w:rsidP="00D96112">
      <w:pPr>
        <w:spacing w:before="100" w:beforeAutospacing="1" w:after="100" w:afterAutospacing="1" w:line="240" w:lineRule="auto"/>
        <w:rPr>
          <w:lang w:val="eu-ES"/>
        </w:rPr>
      </w:pPr>
      <w:r>
        <w:t>En este enlace se puede consultar la tabla de Objetivos de Desarrollo Sostenible que trabaja la UPV/EHU y los diferentes programas y acciones que contribuyen a los mismos:</w:t>
      </w:r>
      <w:r>
        <w:rPr>
          <w:lang w:val="eu-ES"/>
        </w:rPr>
        <w:t xml:space="preserve"> </w:t>
      </w:r>
    </w:p>
    <w:p w:rsidR="00D96112" w:rsidRDefault="00D96112" w:rsidP="00D96112">
      <w:pPr>
        <w:spacing w:before="100" w:beforeAutospacing="1" w:after="100" w:afterAutospacing="1" w:line="240" w:lineRule="auto"/>
        <w:rPr>
          <w:b/>
          <w:lang w:val="eu-ES"/>
        </w:rPr>
      </w:pPr>
      <w:hyperlink r:id="rId4" w:history="1">
        <w:r>
          <w:rPr>
            <w:rStyle w:val="Hipervnculo"/>
            <w:b/>
            <w:lang w:val="eu-ES"/>
          </w:rPr>
          <w:t>https://www.ehu.eus/es/web/iraunkortasuna/ehuagenda-2030/ekarpenak-eta-ekintzak</w:t>
        </w:r>
      </w:hyperlink>
    </w:p>
    <w:p w:rsidR="00D96112" w:rsidRDefault="00D96112" w:rsidP="00D96112">
      <w:pPr>
        <w:spacing w:before="100" w:beforeAutospacing="1" w:after="100" w:afterAutospacing="1" w:line="240" w:lineRule="auto"/>
        <w:rPr>
          <w:lang w:val="eu-ES"/>
        </w:rPr>
      </w:pPr>
    </w:p>
    <w:p w:rsidR="008D3757" w:rsidRDefault="008D3757">
      <w:bookmarkStart w:id="0" w:name="_GoBack"/>
      <w:bookmarkEnd w:id="0"/>
    </w:p>
    <w:sectPr w:rsidR="008D37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12"/>
    <w:rsid w:val="008D3757"/>
    <w:rsid w:val="00D9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1D28F-808B-4C38-8A4C-3D44EA23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112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9611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D9611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4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hu.eus/es/web/iraunkortasuna/ehuagenda-2030/ekarpenak-eta-ekintza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Alazne AYESTARAN</dc:creator>
  <cp:keywords/>
  <dc:description/>
  <cp:lastModifiedBy>Alazne AYESTARAN</cp:lastModifiedBy>
  <cp:revision>1</cp:revision>
  <dcterms:created xsi:type="dcterms:W3CDTF">2024-11-04T11:14:00Z</dcterms:created>
  <dcterms:modified xsi:type="dcterms:W3CDTF">2024-11-04T11:16:00Z</dcterms:modified>
</cp:coreProperties>
</file>